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55" w:rsidRDefault="00F00355" w:rsidP="00F00355">
      <w:pPr>
        <w:rPr>
          <w:b/>
          <w:sz w:val="32"/>
        </w:rPr>
      </w:pPr>
      <w:r>
        <w:rPr>
          <w:b/>
          <w:noProof/>
          <w:sz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-476250</wp:posOffset>
            </wp:positionV>
            <wp:extent cx="5943600" cy="1066800"/>
            <wp:effectExtent l="19050" t="0" r="0" b="0"/>
            <wp:wrapNone/>
            <wp:docPr id="1" name="Picture 1" descr="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prochead"/>
                    <pic:cNvPicPr>
                      <a:picLocks noChangeAspect="1" noChangeArrowheads="1"/>
                    </pic:cNvPicPr>
                  </pic:nvPicPr>
                  <pic:blipFill>
                    <a:blip r:embed="rId8" cstate="print"/>
                    <a:srcRect/>
                    <a:stretch>
                      <a:fillRect/>
                    </a:stretch>
                  </pic:blipFill>
                  <pic:spPr bwMode="auto">
                    <a:xfrm>
                      <a:off x="0" y="0"/>
                      <a:ext cx="5943600" cy="1066800"/>
                    </a:xfrm>
                    <a:prstGeom prst="rect">
                      <a:avLst/>
                    </a:prstGeom>
                    <a:noFill/>
                    <a:ln w="9525">
                      <a:noFill/>
                      <a:miter lim="800000"/>
                      <a:headEnd/>
                      <a:tailEnd/>
                    </a:ln>
                  </pic:spPr>
                </pic:pic>
              </a:graphicData>
            </a:graphic>
          </wp:anchor>
        </w:drawing>
      </w:r>
    </w:p>
    <w:p w:rsidR="00F00355" w:rsidRDefault="00F00355" w:rsidP="00F00355">
      <w:pPr>
        <w:jc w:val="center"/>
        <w:rPr>
          <w:b/>
          <w:sz w:val="32"/>
        </w:rPr>
      </w:pPr>
    </w:p>
    <w:p w:rsidR="00F00355" w:rsidRDefault="00F00355" w:rsidP="00F00355">
      <w:pPr>
        <w:jc w:val="center"/>
        <w:rPr>
          <w:b/>
          <w:sz w:val="32"/>
        </w:rPr>
      </w:pPr>
      <w:r>
        <w:rPr>
          <w:b/>
          <w:sz w:val="32"/>
        </w:rPr>
        <w:t>Proposal Cover Sheet</w:t>
      </w:r>
    </w:p>
    <w:p w:rsidR="00F00355" w:rsidRDefault="00F00355" w:rsidP="00F00355">
      <w:pPr>
        <w:jc w:val="center"/>
        <w:rPr>
          <w:b/>
          <w:sz w:val="32"/>
        </w:rPr>
      </w:pPr>
      <w:r>
        <w:rPr>
          <w:b/>
          <w:sz w:val="32"/>
        </w:rPr>
        <w:t>Term:   Fall</w:t>
      </w:r>
      <w:r>
        <w:rPr>
          <w:b/>
          <w:sz w:val="32"/>
          <w:u w:val="single"/>
        </w:rPr>
        <w:t xml:space="preserve">    X    </w:t>
      </w:r>
      <w:r>
        <w:rPr>
          <w:b/>
          <w:sz w:val="32"/>
        </w:rPr>
        <w:t xml:space="preserve"> Spring _____ Year ______</w:t>
      </w:r>
    </w:p>
    <w:p w:rsidR="00F00355" w:rsidRPr="00F00355" w:rsidRDefault="00F00355" w:rsidP="00F00355">
      <w:pPr>
        <w:jc w:val="center"/>
        <w:rPr>
          <w:b/>
          <w:sz w:val="32"/>
          <w:u w:val="single"/>
        </w:rPr>
      </w:pPr>
      <w:r>
        <w:rPr>
          <w:b/>
          <w:sz w:val="32"/>
        </w:rPr>
        <w:t xml:space="preserve">Instructor </w:t>
      </w:r>
      <w:r>
        <w:rPr>
          <w:b/>
          <w:sz w:val="32"/>
          <w:u w:val="single"/>
        </w:rPr>
        <w:t xml:space="preserve">Professor </w:t>
      </w:r>
      <w:proofErr w:type="spellStart"/>
      <w:r>
        <w:rPr>
          <w:b/>
          <w:sz w:val="32"/>
          <w:u w:val="single"/>
        </w:rPr>
        <w:t>Bovard</w:t>
      </w:r>
      <w:proofErr w:type="spellEnd"/>
    </w:p>
    <w:p w:rsidR="00F00355" w:rsidRDefault="00F00355" w:rsidP="00F00355">
      <w:pPr>
        <w:spacing w:line="360" w:lineRule="auto"/>
      </w:pPr>
      <w:r>
        <w:t xml:space="preserve">Name:  </w:t>
      </w:r>
      <w:r>
        <w:rPr>
          <w:u w:val="single"/>
        </w:rPr>
        <w:t>Patricia Fuentes</w:t>
      </w:r>
    </w:p>
    <w:p w:rsidR="00F00355" w:rsidRPr="00F00355" w:rsidRDefault="00F00355" w:rsidP="00F00355">
      <w:pPr>
        <w:spacing w:line="360" w:lineRule="auto"/>
        <w:rPr>
          <w:u w:val="single"/>
        </w:rPr>
      </w:pPr>
      <w:r>
        <w:t xml:space="preserve">Present Year in Education (e.g., freshman, sophomore, etc.):  </w:t>
      </w:r>
      <w:r>
        <w:rPr>
          <w:u w:val="single"/>
        </w:rPr>
        <w:t>Junior</w:t>
      </w:r>
    </w:p>
    <w:p w:rsidR="00F00355" w:rsidRPr="00F00355" w:rsidRDefault="00F00355" w:rsidP="00F00355">
      <w:pPr>
        <w:spacing w:line="360" w:lineRule="auto"/>
        <w:rPr>
          <w:u w:val="single"/>
        </w:rPr>
      </w:pPr>
      <w:r>
        <w:t xml:space="preserve">E-mail Address:  </w:t>
      </w:r>
      <w:r>
        <w:rPr>
          <w:u w:val="single"/>
        </w:rPr>
        <w:t>pfuente@eagle.fgcu.edu</w:t>
      </w:r>
    </w:p>
    <w:p w:rsidR="00F00355" w:rsidRPr="00F00355" w:rsidRDefault="00F00355" w:rsidP="00F00355">
      <w:pPr>
        <w:spacing w:line="360" w:lineRule="auto"/>
        <w:rPr>
          <w:u w:val="single"/>
        </w:rPr>
      </w:pPr>
      <w:r>
        <w:t xml:space="preserve">Major </w:t>
      </w:r>
      <w:r>
        <w:rPr>
          <w:u w:val="single"/>
        </w:rPr>
        <w:t>Biology</w:t>
      </w:r>
    </w:p>
    <w:p w:rsidR="00F00355" w:rsidRDefault="00F00355" w:rsidP="00F00355">
      <w:pPr>
        <w:spacing w:line="360" w:lineRule="auto"/>
      </w:pPr>
      <w:r>
        <w:t xml:space="preserve">Have you identified a research mentor for a senior thesis (if applicable)?  </w:t>
      </w:r>
    </w:p>
    <w:p w:rsidR="00F00355" w:rsidRDefault="00F00355" w:rsidP="00F00355">
      <w:pPr>
        <w:spacing w:line="360" w:lineRule="auto"/>
      </w:pPr>
      <w:r>
        <w:t xml:space="preserve">_____ </w:t>
      </w:r>
      <w:proofErr w:type="gramStart"/>
      <w:r>
        <w:t>Yes  _</w:t>
      </w:r>
      <w:proofErr w:type="gramEnd"/>
      <w:r>
        <w:t>____ No.</w:t>
      </w:r>
    </w:p>
    <w:p w:rsidR="00F00355" w:rsidRDefault="00F00355" w:rsidP="00F00355">
      <w:pPr>
        <w:spacing w:line="360" w:lineRule="auto"/>
        <w:ind w:firstLine="720"/>
      </w:pPr>
      <w:r>
        <w:t>If yes, please identify.</w:t>
      </w:r>
    </w:p>
    <w:p w:rsidR="00F00355" w:rsidRDefault="00F00355" w:rsidP="00F00355">
      <w:pPr>
        <w:spacing w:line="360" w:lineRule="auto"/>
        <w:ind w:firstLine="720"/>
      </w:pPr>
      <w:r>
        <w:t>Name:  __________________________________________</w:t>
      </w:r>
    </w:p>
    <w:p w:rsidR="00F00355" w:rsidRPr="00F00355" w:rsidRDefault="00F00355" w:rsidP="00F00355">
      <w:pPr>
        <w:spacing w:line="360" w:lineRule="auto"/>
        <w:rPr>
          <w:b/>
          <w:bCs/>
        </w:rPr>
      </w:pPr>
      <w:r>
        <w:rPr>
          <w:b/>
          <w:bCs/>
        </w:rPr>
        <w:t xml:space="preserve">Title of Proposal:  </w:t>
      </w:r>
    </w:p>
    <w:p w:rsidR="00F00355" w:rsidRPr="00C35102" w:rsidRDefault="00F00355" w:rsidP="00F00355">
      <w:pPr>
        <w:spacing w:line="360" w:lineRule="auto"/>
        <w:rPr>
          <w:u w:val="single"/>
        </w:rPr>
      </w:pPr>
      <w:r>
        <w:rPr>
          <w:u w:val="single"/>
        </w:rPr>
        <w:t>Dengue Induced apoptosis in the presence of TNF-α</w:t>
      </w:r>
    </w:p>
    <w:p w:rsidR="00F00355" w:rsidRDefault="00F00355" w:rsidP="00F00355">
      <w:pPr>
        <w:spacing w:line="360" w:lineRule="auto"/>
        <w:rPr>
          <w:b/>
          <w:bCs/>
        </w:rPr>
      </w:pPr>
      <w:r>
        <w:rPr>
          <w:b/>
          <w:bCs/>
        </w:rPr>
        <w:t>Checklist:</w:t>
      </w:r>
    </w:p>
    <w:p w:rsidR="00F00355" w:rsidRDefault="00F00355" w:rsidP="00F00355">
      <w:pPr>
        <w:spacing w:line="360" w:lineRule="auto"/>
      </w:pPr>
      <w:r>
        <w:t xml:space="preserve">All required portions of the first submission are included  </w:t>
      </w:r>
      <w:r>
        <w:rPr>
          <w:u w:val="single"/>
        </w:rPr>
        <w:t xml:space="preserve">   X   </w:t>
      </w:r>
      <w:r>
        <w:t xml:space="preserve"> </w:t>
      </w:r>
      <w:proofErr w:type="gramStart"/>
      <w:r>
        <w:t>Yes  _</w:t>
      </w:r>
      <w:proofErr w:type="gramEnd"/>
      <w:r>
        <w:t>____ No</w:t>
      </w:r>
    </w:p>
    <w:p w:rsidR="00F00355" w:rsidRDefault="00F00355" w:rsidP="00F00355">
      <w:pPr>
        <w:spacing w:line="360" w:lineRule="auto"/>
      </w:pPr>
      <w:r>
        <w:t xml:space="preserve">I had an external reviewer read the proposal </w:t>
      </w:r>
      <w:r>
        <w:rPr>
          <w:u w:val="single"/>
        </w:rPr>
        <w:t xml:space="preserve">    X   </w:t>
      </w:r>
      <w:r>
        <w:t xml:space="preserve"> </w:t>
      </w:r>
      <w:proofErr w:type="gramStart"/>
      <w:r>
        <w:t>Yes  _</w:t>
      </w:r>
      <w:proofErr w:type="gramEnd"/>
      <w:r>
        <w:t>____ No</w:t>
      </w:r>
    </w:p>
    <w:p w:rsidR="00F00355" w:rsidRPr="00F00355" w:rsidRDefault="00F00355" w:rsidP="00F00355">
      <w:pPr>
        <w:spacing w:line="360" w:lineRule="auto"/>
        <w:rPr>
          <w:u w:val="single"/>
        </w:rPr>
      </w:pPr>
      <w:r>
        <w:t xml:space="preserve">If Yes, who </w:t>
      </w:r>
      <w:r>
        <w:rPr>
          <w:u w:val="single"/>
        </w:rPr>
        <w:t xml:space="preserve">Wendy Crowell                                  </w:t>
      </w:r>
      <w:r>
        <w:t xml:space="preserve">  </w:t>
      </w:r>
      <w:proofErr w:type="gramStart"/>
      <w:r>
        <w:t xml:space="preserve">When  </w:t>
      </w:r>
      <w:r>
        <w:rPr>
          <w:u w:val="single"/>
        </w:rPr>
        <w:t>October</w:t>
      </w:r>
      <w:proofErr w:type="gramEnd"/>
      <w:r>
        <w:rPr>
          <w:u w:val="single"/>
        </w:rPr>
        <w:t xml:space="preserve"> 13, 2011</w:t>
      </w:r>
    </w:p>
    <w:p w:rsidR="00F00355" w:rsidRDefault="00F00355" w:rsidP="00F00355">
      <w:pPr>
        <w:spacing w:line="360" w:lineRule="auto"/>
      </w:pPr>
      <w:r>
        <w:t xml:space="preserve">I authorize the use of this proposal as an example in future courses </w:t>
      </w:r>
      <w:r>
        <w:rPr>
          <w:u w:val="single"/>
        </w:rPr>
        <w:t xml:space="preserve">   X    </w:t>
      </w:r>
      <w:r>
        <w:t xml:space="preserve"> </w:t>
      </w:r>
      <w:proofErr w:type="gramStart"/>
      <w:r>
        <w:t>Yes  _</w:t>
      </w:r>
      <w:proofErr w:type="gramEnd"/>
      <w:r>
        <w:t>____ No</w:t>
      </w:r>
    </w:p>
    <w:p w:rsidR="00F00355" w:rsidRDefault="00F00355" w:rsidP="00AC318A">
      <w:pPr>
        <w:spacing w:line="480" w:lineRule="auto"/>
        <w:rPr>
          <w:b/>
          <w:i/>
        </w:rPr>
      </w:pPr>
    </w:p>
    <w:p w:rsidR="002859CB" w:rsidRDefault="002859CB" w:rsidP="00AC318A">
      <w:pPr>
        <w:spacing w:line="480" w:lineRule="auto"/>
        <w:rPr>
          <w:b/>
          <w:i/>
        </w:rPr>
      </w:pPr>
      <w:r>
        <w:rPr>
          <w:b/>
          <w:i/>
        </w:rPr>
        <w:lastRenderedPageBreak/>
        <w:t>Abstract</w:t>
      </w:r>
    </w:p>
    <w:p w:rsidR="002859CB" w:rsidRDefault="002859CB" w:rsidP="00AC318A">
      <w:pPr>
        <w:spacing w:line="480" w:lineRule="auto"/>
      </w:pPr>
      <w:r>
        <w:tab/>
        <w:t xml:space="preserve">The relationship between the host immunological </w:t>
      </w:r>
      <w:proofErr w:type="gramStart"/>
      <w:r>
        <w:t>response</w:t>
      </w:r>
      <w:proofErr w:type="gramEnd"/>
      <w:r>
        <w:t xml:space="preserve"> to infection of dengue virus has been difficult to ascertain</w:t>
      </w:r>
      <w:r w:rsidR="0019476A">
        <w:t>. Cytokines such as</w:t>
      </w:r>
      <w:r w:rsidR="00AC318A">
        <w:t xml:space="preserve"> TNF-α play a role in cellular apoptosis which has been assumed to contribute to the overall pathogenesis of the virus, however the mechanism is unknown. To delineate the complex interaction between the virus and the host, TNF-α will be introduced to host endothelial cells and apoptosis will be observed. Cells that have undergone apoptosis will be analyzed via TUNEL assays and real-time PCR.</w:t>
      </w:r>
    </w:p>
    <w:p w:rsidR="00AC318A" w:rsidRPr="0019476A" w:rsidRDefault="00AC318A" w:rsidP="00AC318A">
      <w:pPr>
        <w:spacing w:line="480" w:lineRule="auto"/>
        <w:rPr>
          <w:b/>
          <w:i/>
        </w:rPr>
      </w:pPr>
      <w:r w:rsidRPr="00AC318A">
        <w:rPr>
          <w:b/>
          <w:i/>
        </w:rPr>
        <w:t>Key Terms:</w:t>
      </w:r>
      <w:r w:rsidR="0019476A">
        <w:rPr>
          <w:b/>
          <w:i/>
        </w:rPr>
        <w:t xml:space="preserve"> </w:t>
      </w:r>
      <w:r>
        <w:t xml:space="preserve">Dengue virus, apoptosis, </w:t>
      </w:r>
      <w:r w:rsidR="000C0092">
        <w:t xml:space="preserve">and </w:t>
      </w:r>
      <w:r>
        <w:t>TNF-α</w:t>
      </w:r>
      <w:r w:rsidR="000C0092">
        <w:t>.</w:t>
      </w:r>
    </w:p>
    <w:p w:rsidR="00AC318A" w:rsidRPr="00AC318A" w:rsidRDefault="00AC318A" w:rsidP="00AC318A">
      <w:pPr>
        <w:spacing w:line="480" w:lineRule="auto"/>
        <w:rPr>
          <w:b/>
        </w:rPr>
      </w:pPr>
    </w:p>
    <w:p w:rsidR="002859CB" w:rsidRDefault="002859CB" w:rsidP="00AC318A">
      <w:pPr>
        <w:spacing w:line="480" w:lineRule="auto"/>
        <w:rPr>
          <w:b/>
          <w:i/>
        </w:rPr>
      </w:pPr>
    </w:p>
    <w:p w:rsidR="002859CB" w:rsidRDefault="002859CB" w:rsidP="00AC318A">
      <w:pPr>
        <w:spacing w:line="480" w:lineRule="auto"/>
        <w:rPr>
          <w:b/>
          <w:i/>
        </w:rPr>
      </w:pPr>
    </w:p>
    <w:p w:rsidR="002859CB" w:rsidRDefault="002859CB" w:rsidP="00AC318A">
      <w:pPr>
        <w:spacing w:line="480" w:lineRule="auto"/>
        <w:rPr>
          <w:b/>
          <w:i/>
        </w:rPr>
      </w:pPr>
    </w:p>
    <w:p w:rsidR="002859CB" w:rsidRDefault="002859CB" w:rsidP="00AC318A">
      <w:pPr>
        <w:spacing w:line="480" w:lineRule="auto"/>
        <w:rPr>
          <w:b/>
          <w:i/>
        </w:rPr>
      </w:pPr>
    </w:p>
    <w:p w:rsidR="002859CB" w:rsidRDefault="002859CB" w:rsidP="00AC318A">
      <w:pPr>
        <w:spacing w:line="480" w:lineRule="auto"/>
        <w:rPr>
          <w:b/>
          <w:i/>
        </w:rPr>
      </w:pPr>
    </w:p>
    <w:p w:rsidR="002859CB" w:rsidRDefault="002859CB" w:rsidP="00AC318A">
      <w:pPr>
        <w:spacing w:line="480" w:lineRule="auto"/>
        <w:rPr>
          <w:b/>
          <w:i/>
        </w:rPr>
      </w:pPr>
    </w:p>
    <w:p w:rsidR="002859CB" w:rsidRDefault="002859CB" w:rsidP="00AC318A">
      <w:pPr>
        <w:spacing w:line="480" w:lineRule="auto"/>
        <w:rPr>
          <w:b/>
          <w:i/>
        </w:rPr>
      </w:pPr>
    </w:p>
    <w:p w:rsidR="000C0092" w:rsidRDefault="000C0092" w:rsidP="00AC318A">
      <w:pPr>
        <w:spacing w:line="480" w:lineRule="auto"/>
        <w:rPr>
          <w:b/>
          <w:i/>
        </w:rPr>
      </w:pPr>
    </w:p>
    <w:p w:rsidR="000C0092" w:rsidRDefault="000C0092" w:rsidP="00AC318A">
      <w:pPr>
        <w:spacing w:line="480" w:lineRule="auto"/>
        <w:rPr>
          <w:b/>
          <w:i/>
        </w:rPr>
      </w:pPr>
    </w:p>
    <w:p w:rsidR="0019476A" w:rsidRDefault="0019476A" w:rsidP="00AC318A">
      <w:pPr>
        <w:spacing w:line="480" w:lineRule="auto"/>
        <w:rPr>
          <w:b/>
          <w:i/>
        </w:rPr>
      </w:pPr>
    </w:p>
    <w:p w:rsidR="002859CB" w:rsidRPr="002859CB" w:rsidRDefault="002859CB" w:rsidP="00AC318A">
      <w:pPr>
        <w:spacing w:line="480" w:lineRule="auto"/>
        <w:rPr>
          <w:b/>
          <w:i/>
        </w:rPr>
      </w:pPr>
      <w:r w:rsidRPr="002859CB">
        <w:rPr>
          <w:b/>
          <w:i/>
        </w:rPr>
        <w:lastRenderedPageBreak/>
        <w:t>Table of Contents</w:t>
      </w:r>
    </w:p>
    <w:p w:rsidR="002859CB" w:rsidRDefault="002859CB" w:rsidP="000C0092">
      <w:pPr>
        <w:spacing w:line="480" w:lineRule="auto"/>
        <w:jc w:val="center"/>
      </w:pPr>
      <w:r>
        <w:t>Abstract</w:t>
      </w:r>
      <w:r w:rsidR="000C0092">
        <w:t>………………………………………………………………… 1</w:t>
      </w:r>
    </w:p>
    <w:p w:rsidR="002859CB" w:rsidRDefault="002859CB" w:rsidP="000C0092">
      <w:pPr>
        <w:spacing w:line="480" w:lineRule="auto"/>
        <w:jc w:val="center"/>
      </w:pPr>
      <w:r>
        <w:t>Problem Statement</w:t>
      </w:r>
      <w:r w:rsidR="000C0092">
        <w:t>……………………………………………………… 3</w:t>
      </w:r>
    </w:p>
    <w:p w:rsidR="002859CB" w:rsidRDefault="002859CB" w:rsidP="000C0092">
      <w:pPr>
        <w:spacing w:line="480" w:lineRule="auto"/>
        <w:jc w:val="center"/>
      </w:pPr>
      <w:r>
        <w:t>Research Objective</w:t>
      </w:r>
      <w:r w:rsidR="000C0092">
        <w:t>……………………………………………………… 4</w:t>
      </w:r>
    </w:p>
    <w:p w:rsidR="002859CB" w:rsidRDefault="002859CB" w:rsidP="000C0092">
      <w:pPr>
        <w:spacing w:line="480" w:lineRule="auto"/>
        <w:jc w:val="center"/>
      </w:pPr>
      <w:r>
        <w:t>Methods</w:t>
      </w:r>
      <w:r w:rsidR="000C0092">
        <w:t>…………………………………………………………………. 5</w:t>
      </w:r>
    </w:p>
    <w:p w:rsidR="002859CB" w:rsidRDefault="002859CB" w:rsidP="000C0092">
      <w:pPr>
        <w:spacing w:line="480" w:lineRule="auto"/>
        <w:jc w:val="center"/>
      </w:pPr>
      <w:r>
        <w:t>Timeline</w:t>
      </w:r>
      <w:r w:rsidR="000C0092">
        <w:t>………………………………………………………………… 7</w:t>
      </w:r>
    </w:p>
    <w:p w:rsidR="002859CB" w:rsidRDefault="002859CB" w:rsidP="000C0092">
      <w:pPr>
        <w:spacing w:line="480" w:lineRule="auto"/>
        <w:jc w:val="center"/>
      </w:pPr>
      <w:r>
        <w:t>Significance of Expected Results</w:t>
      </w:r>
      <w:r w:rsidR="000C0092">
        <w:t>……………………………………….. 8</w:t>
      </w:r>
    </w:p>
    <w:p w:rsidR="002859CB" w:rsidRDefault="002859CB" w:rsidP="000C0092">
      <w:pPr>
        <w:spacing w:line="480" w:lineRule="auto"/>
        <w:jc w:val="center"/>
      </w:pPr>
      <w:r>
        <w:t>Equipment</w:t>
      </w:r>
      <w:r w:rsidR="00AD4E15">
        <w:t>………………..…………………………………………….. 9</w:t>
      </w:r>
    </w:p>
    <w:p w:rsidR="002859CB" w:rsidRDefault="002859CB" w:rsidP="000C0092">
      <w:pPr>
        <w:spacing w:line="480" w:lineRule="auto"/>
        <w:jc w:val="center"/>
      </w:pPr>
      <w:r>
        <w:t>Literature Cited</w:t>
      </w:r>
      <w:r w:rsidR="000C0092">
        <w:t>………………………………….………………….… 10</w:t>
      </w:r>
    </w:p>
    <w:p w:rsidR="002859CB" w:rsidRDefault="002859CB" w:rsidP="000C0092">
      <w:pPr>
        <w:tabs>
          <w:tab w:val="left" w:pos="1170"/>
        </w:tabs>
        <w:spacing w:line="480" w:lineRule="auto"/>
        <w:jc w:val="center"/>
      </w:pPr>
      <w:r>
        <w:t>Bibliographical Sketch</w:t>
      </w:r>
      <w:r w:rsidR="000C0092">
        <w:t>………………………………………………… 12</w:t>
      </w:r>
    </w:p>
    <w:p w:rsidR="002859CB" w:rsidRDefault="002859CB" w:rsidP="00AC318A">
      <w:pPr>
        <w:spacing w:line="480" w:lineRule="auto"/>
      </w:pPr>
    </w:p>
    <w:p w:rsidR="002859CB" w:rsidRDefault="002859CB" w:rsidP="00AC318A">
      <w:pPr>
        <w:spacing w:line="480" w:lineRule="auto"/>
        <w:contextualSpacing/>
        <w:rPr>
          <w:b/>
          <w:i/>
        </w:rPr>
      </w:pPr>
    </w:p>
    <w:p w:rsidR="002859CB" w:rsidRDefault="002859CB" w:rsidP="00AC318A">
      <w:pPr>
        <w:spacing w:line="480" w:lineRule="auto"/>
        <w:contextualSpacing/>
        <w:rPr>
          <w:b/>
          <w:i/>
        </w:rPr>
      </w:pPr>
    </w:p>
    <w:p w:rsidR="002859CB" w:rsidRDefault="002859CB" w:rsidP="00AC318A">
      <w:pPr>
        <w:spacing w:line="480" w:lineRule="auto"/>
        <w:contextualSpacing/>
        <w:rPr>
          <w:b/>
          <w:i/>
        </w:rPr>
      </w:pPr>
    </w:p>
    <w:p w:rsidR="002859CB" w:rsidRDefault="002859CB" w:rsidP="00AC318A">
      <w:pPr>
        <w:spacing w:line="480" w:lineRule="auto"/>
        <w:contextualSpacing/>
        <w:rPr>
          <w:b/>
          <w:i/>
        </w:rPr>
      </w:pPr>
    </w:p>
    <w:p w:rsidR="002859CB" w:rsidRDefault="002859CB" w:rsidP="00AC318A">
      <w:pPr>
        <w:spacing w:line="480" w:lineRule="auto"/>
        <w:contextualSpacing/>
        <w:rPr>
          <w:b/>
          <w:i/>
        </w:rPr>
      </w:pPr>
    </w:p>
    <w:p w:rsidR="002859CB" w:rsidRDefault="002859CB" w:rsidP="00AC318A">
      <w:pPr>
        <w:spacing w:line="480" w:lineRule="auto"/>
        <w:contextualSpacing/>
        <w:rPr>
          <w:b/>
          <w:i/>
        </w:rPr>
      </w:pPr>
    </w:p>
    <w:p w:rsidR="002859CB" w:rsidRDefault="002859CB" w:rsidP="00AC318A">
      <w:pPr>
        <w:spacing w:line="480" w:lineRule="auto"/>
        <w:contextualSpacing/>
        <w:rPr>
          <w:b/>
          <w:i/>
        </w:rPr>
      </w:pPr>
    </w:p>
    <w:p w:rsidR="000C0092" w:rsidRDefault="000C0092" w:rsidP="00AC318A">
      <w:pPr>
        <w:spacing w:line="480" w:lineRule="auto"/>
        <w:contextualSpacing/>
        <w:rPr>
          <w:b/>
          <w:i/>
        </w:rPr>
      </w:pPr>
    </w:p>
    <w:p w:rsidR="00565E2C" w:rsidRPr="00565E2C" w:rsidRDefault="00565E2C" w:rsidP="00AC318A">
      <w:pPr>
        <w:spacing w:line="480" w:lineRule="auto"/>
        <w:contextualSpacing/>
        <w:rPr>
          <w:b/>
          <w:i/>
        </w:rPr>
      </w:pPr>
      <w:r w:rsidRPr="00565E2C">
        <w:rPr>
          <w:b/>
          <w:i/>
        </w:rPr>
        <w:lastRenderedPageBreak/>
        <w:t>Problem Statement</w:t>
      </w:r>
    </w:p>
    <w:p w:rsidR="00565E2C" w:rsidRDefault="00565E2C" w:rsidP="00AC318A">
      <w:pPr>
        <w:spacing w:line="480" w:lineRule="auto"/>
        <w:ind w:firstLine="720"/>
        <w:contextualSpacing/>
        <w:rPr>
          <w:iCs/>
        </w:rPr>
      </w:pPr>
      <w:r>
        <w:t>Dengue hemorrhagic fever (DHF) and dengue shock syndrome (DSS) result from a viral infection of the dengue virus</w:t>
      </w:r>
      <w:r w:rsidR="0019476A">
        <w:t xml:space="preserve"> (DENV)</w:t>
      </w:r>
      <w:r>
        <w:t xml:space="preserve">. </w:t>
      </w:r>
      <w:r>
        <w:rPr>
          <w:iCs/>
        </w:rPr>
        <w:t xml:space="preserve">Now considered one of the most prominent arthropod-borne infectious viruses, </w:t>
      </w:r>
      <w:r>
        <w:t xml:space="preserve">transmitted by </w:t>
      </w:r>
      <w:proofErr w:type="spellStart"/>
      <w:r w:rsidRPr="00356650">
        <w:rPr>
          <w:i/>
          <w:iCs/>
        </w:rPr>
        <w:t>Aedes</w:t>
      </w:r>
      <w:proofErr w:type="spellEnd"/>
      <w:r>
        <w:t xml:space="preserve"> mosquitoes, the dengue epidemic has spread to all parts of the world such as Africa, South Asia, South America, and most recently there has been an outbreak in Key West, Florida</w:t>
      </w:r>
      <w:r w:rsidR="0019476A">
        <w:t xml:space="preserve"> (Yen 2008)</w:t>
      </w:r>
      <w:r>
        <w:t xml:space="preserve">. Dengue virus is </w:t>
      </w:r>
      <w:proofErr w:type="gramStart"/>
      <w:r>
        <w:t>a</w:t>
      </w:r>
      <w:proofErr w:type="gramEnd"/>
      <w:r>
        <w:t xml:space="preserve"> </w:t>
      </w:r>
      <w:proofErr w:type="spellStart"/>
      <w:r>
        <w:t>ssRNA</w:t>
      </w:r>
      <w:proofErr w:type="spellEnd"/>
      <w:r>
        <w:t xml:space="preserve"> virus that pertains to the </w:t>
      </w:r>
      <w:proofErr w:type="spellStart"/>
      <w:r w:rsidRPr="00B31361">
        <w:rPr>
          <w:i/>
          <w:iCs/>
        </w:rPr>
        <w:t>Flaviviridae</w:t>
      </w:r>
      <w:proofErr w:type="spellEnd"/>
      <w:r>
        <w:t xml:space="preserve"> family, genus </w:t>
      </w:r>
      <w:proofErr w:type="spellStart"/>
      <w:r w:rsidRPr="00B31361">
        <w:rPr>
          <w:i/>
          <w:iCs/>
        </w:rPr>
        <w:t>Flavivirus</w:t>
      </w:r>
      <w:proofErr w:type="spellEnd"/>
      <w:r>
        <w:rPr>
          <w:i/>
          <w:iCs/>
        </w:rPr>
        <w:t xml:space="preserve">. </w:t>
      </w:r>
      <w:r>
        <w:rPr>
          <w:iCs/>
        </w:rPr>
        <w:t>The viral genome contains a single open reading frame (ORF) which encodes for three structural proteins: core (C), membrane (M), and envelope (E) proteins, with seven nonstructural proteins</w:t>
      </w:r>
      <w:r w:rsidR="0019476A">
        <w:rPr>
          <w:iCs/>
        </w:rPr>
        <w:t xml:space="preserve"> (</w:t>
      </w:r>
      <w:proofErr w:type="spellStart"/>
      <w:r w:rsidR="0019476A">
        <w:rPr>
          <w:iCs/>
        </w:rPr>
        <w:t>Nasirudeen</w:t>
      </w:r>
      <w:proofErr w:type="spellEnd"/>
      <w:r w:rsidR="0019476A">
        <w:rPr>
          <w:iCs/>
        </w:rPr>
        <w:t xml:space="preserve"> 2009)</w:t>
      </w:r>
      <w:r>
        <w:rPr>
          <w:iCs/>
        </w:rPr>
        <w:t xml:space="preserve">. These proteins contribute to receptor mediated </w:t>
      </w:r>
      <w:proofErr w:type="spellStart"/>
      <w:r>
        <w:rPr>
          <w:iCs/>
        </w:rPr>
        <w:t>endocytosis</w:t>
      </w:r>
      <w:proofErr w:type="spellEnd"/>
      <w:r>
        <w:rPr>
          <w:iCs/>
        </w:rPr>
        <w:t xml:space="preserve"> (uptake of the virus into the cell) and the replication and production of new viruses once inside the host cell. </w:t>
      </w:r>
    </w:p>
    <w:p w:rsidR="00565E2C" w:rsidRDefault="00565E2C" w:rsidP="00565E2C">
      <w:pPr>
        <w:spacing w:line="480" w:lineRule="auto"/>
        <w:ind w:firstLine="720"/>
        <w:contextualSpacing/>
        <w:rPr>
          <w:iCs/>
        </w:rPr>
      </w:pPr>
      <w:r>
        <w:rPr>
          <w:iCs/>
        </w:rPr>
        <w:t xml:space="preserve">Dengue has four different viral strains (DENV-1, DENV-2, DENV-3, and DENV-4) which enable the virus to undergo antibody- dependent enhancement (ADE). There are four </w:t>
      </w:r>
      <w:proofErr w:type="spellStart"/>
      <w:r w:rsidRPr="00F74108">
        <w:t>antigenically</w:t>
      </w:r>
      <w:proofErr w:type="spellEnd"/>
      <w:r>
        <w:t xml:space="preserve"> different </w:t>
      </w:r>
      <w:r w:rsidRPr="00F74108">
        <w:t>serotypes</w:t>
      </w:r>
      <w:r>
        <w:t xml:space="preserve"> for each strain which allow the body to produce lifelong immunity to that particular strain via antibody response (</w:t>
      </w:r>
      <w:r w:rsidR="00CF0CAE">
        <w:t>Brown</w:t>
      </w:r>
      <w:r>
        <w:t xml:space="preserve"> 2009). However, once infected with a second strain, the antibody produced previously enhances viral infection in the host cell, giving rise to life-threatening DHF/DSS. Once dissimilation of the virus takes place in the host, it is believed that DENV contributes to plasma leakage and bleeding tendencies which may play a role in the </w:t>
      </w:r>
      <w:proofErr w:type="spellStart"/>
      <w:r>
        <w:t>immunopathogenesis</w:t>
      </w:r>
      <w:proofErr w:type="spellEnd"/>
      <w:r>
        <w:t xml:space="preserve"> of dengue virus</w:t>
      </w:r>
      <w:r w:rsidR="00CF0CAE">
        <w:t xml:space="preserve"> (Rothman</w:t>
      </w:r>
      <w:r>
        <w:t xml:space="preserve"> 1999). A mechanism proposed to elucidate this immune response is activated by pro-apoptotic gene expression in DENV induced apoptosis</w:t>
      </w:r>
      <w:r w:rsidR="00CF0CAE">
        <w:t xml:space="preserve"> of endothelial cells</w:t>
      </w:r>
      <w:r>
        <w:t>.</w:t>
      </w:r>
      <w:r w:rsidR="00CF0CAE">
        <w:t xml:space="preserve"> However, it is currently not known if the virus, the host immune system, or the interaction of both the host and the virus is responsible for this response (Chen 2007)</w:t>
      </w:r>
      <w:r>
        <w:t xml:space="preserve"> </w:t>
      </w:r>
    </w:p>
    <w:p w:rsidR="00565E2C" w:rsidRDefault="00565E2C" w:rsidP="00565E2C">
      <w:pPr>
        <w:spacing w:line="480" w:lineRule="auto"/>
        <w:contextualSpacing/>
        <w:rPr>
          <w:iCs/>
        </w:rPr>
      </w:pPr>
      <w:r>
        <w:rPr>
          <w:iCs/>
        </w:rPr>
        <w:lastRenderedPageBreak/>
        <w:tab/>
        <w:t xml:space="preserve">Dengue virus pathogenesis is not very well understood due to the inability of </w:t>
      </w:r>
      <w:r w:rsidRPr="00565E2C">
        <w:rPr>
          <w:i/>
          <w:iCs/>
        </w:rPr>
        <w:t>in vivo</w:t>
      </w:r>
      <w:r>
        <w:rPr>
          <w:iCs/>
        </w:rPr>
        <w:t xml:space="preserve"> studies. Most knowledge about the body immunological response to the virus is acquired from i</w:t>
      </w:r>
      <w:r w:rsidRPr="00565E2C">
        <w:rPr>
          <w:i/>
          <w:iCs/>
        </w:rPr>
        <w:t>n vitro</w:t>
      </w:r>
      <w:r>
        <w:rPr>
          <w:iCs/>
        </w:rPr>
        <w:t xml:space="preserve"> testing of infected cells from patients that have undergone viral infection. It has been hypothesized that programmed cell death of infected host</w:t>
      </w:r>
      <w:r w:rsidR="00CF0CAE">
        <w:rPr>
          <w:iCs/>
        </w:rPr>
        <w:t xml:space="preserve"> endothelial cells contributes to vascular damage</w:t>
      </w:r>
      <w:r w:rsidR="004E1901">
        <w:rPr>
          <w:iCs/>
        </w:rPr>
        <w:t xml:space="preserve"> due to increased vascular permeability which contributes to sever hemorrhage of DHF/DSS</w:t>
      </w:r>
      <w:r w:rsidR="00CF0CAE">
        <w:rPr>
          <w:iCs/>
        </w:rPr>
        <w:t xml:space="preserve"> (Yen 2008</w:t>
      </w:r>
      <w:r>
        <w:rPr>
          <w:iCs/>
        </w:rPr>
        <w:t>). More specifically, DENV- induced apoptosis has shown to play a role in the viruses overall pathogenesis, but the exact mechanism is unknown.</w:t>
      </w:r>
      <w:r>
        <w:t xml:space="preserve"> Apoptosis triggered by anti-body enhanced DENV was also found</w:t>
      </w:r>
      <w:r w:rsidR="00CF0CAE">
        <w:t xml:space="preserve"> to be </w:t>
      </w:r>
      <w:proofErr w:type="spellStart"/>
      <w:r w:rsidR="00CF0CAE">
        <w:t>caspase</w:t>
      </w:r>
      <w:proofErr w:type="spellEnd"/>
      <w:r w:rsidR="00CF0CAE">
        <w:t>-dependent (Brown</w:t>
      </w:r>
      <w:r>
        <w:t xml:space="preserve"> 2009). </w:t>
      </w:r>
      <w:r>
        <w:rPr>
          <w:iCs/>
        </w:rPr>
        <w:t xml:space="preserve"> In recent studies, p53- dependent apoptosis has shown </w:t>
      </w:r>
      <w:proofErr w:type="spellStart"/>
      <w:r>
        <w:rPr>
          <w:iCs/>
        </w:rPr>
        <w:t>upregulation</w:t>
      </w:r>
      <w:proofErr w:type="spellEnd"/>
      <w:r>
        <w:rPr>
          <w:iCs/>
        </w:rPr>
        <w:t xml:space="preserve"> in pro-apoptotic genes such as caspase-1 which plays a role in production of cytokines such as tumor necrosis factor- alpha (TNF-α) </w:t>
      </w:r>
      <w:r w:rsidR="00CF0CAE">
        <w:rPr>
          <w:iCs/>
        </w:rPr>
        <w:t>(</w:t>
      </w:r>
      <w:proofErr w:type="spellStart"/>
      <w:r w:rsidR="00CF0CAE">
        <w:rPr>
          <w:iCs/>
        </w:rPr>
        <w:t>Nasirudeen</w:t>
      </w:r>
      <w:proofErr w:type="spellEnd"/>
      <w:r w:rsidR="00CF0CAE">
        <w:rPr>
          <w:iCs/>
        </w:rPr>
        <w:t xml:space="preserve"> and Liu</w:t>
      </w:r>
      <w:r>
        <w:rPr>
          <w:iCs/>
        </w:rPr>
        <w:t xml:space="preserve"> 2008). Cytokines are believed to play a role in intracellular communication, notifying neighboring cells of cell death and therefore contributing to the global response of the immune system.  </w:t>
      </w:r>
    </w:p>
    <w:p w:rsidR="002922AF" w:rsidRPr="002922AF" w:rsidRDefault="002922AF" w:rsidP="00565E2C">
      <w:pPr>
        <w:spacing w:line="480" w:lineRule="auto"/>
        <w:contextualSpacing/>
        <w:rPr>
          <w:b/>
          <w:i/>
          <w:iCs/>
        </w:rPr>
      </w:pPr>
      <w:r w:rsidRPr="002922AF">
        <w:rPr>
          <w:b/>
          <w:i/>
          <w:iCs/>
        </w:rPr>
        <w:t>Research Objective</w:t>
      </w:r>
    </w:p>
    <w:p w:rsidR="00AE769B" w:rsidRDefault="00565E2C" w:rsidP="00F44324">
      <w:pPr>
        <w:spacing w:line="480" w:lineRule="auto"/>
        <w:contextualSpacing/>
        <w:rPr>
          <w:iCs/>
        </w:rPr>
      </w:pPr>
      <w:r>
        <w:rPr>
          <w:iCs/>
        </w:rPr>
        <w:tab/>
        <w:t xml:space="preserve">Since limited information is available on DENV-induced apoptosis and whether or not it contributes to the increase of pathogenesis of viral infection, this study will be conducted to better understand the role of pro-apoptotic gene expression of tumor necrosis factor- alpha (TNF-α) </w:t>
      </w:r>
      <w:r w:rsidR="00CF0CAE">
        <w:rPr>
          <w:iCs/>
        </w:rPr>
        <w:t xml:space="preserve"> when presented to</w:t>
      </w:r>
      <w:r>
        <w:rPr>
          <w:iCs/>
        </w:rPr>
        <w:t xml:space="preserve"> host</w:t>
      </w:r>
      <w:r>
        <w:t xml:space="preserve"> endothelial</w:t>
      </w:r>
      <w:r>
        <w:rPr>
          <w:iCs/>
        </w:rPr>
        <w:t xml:space="preserve"> cells. </w:t>
      </w:r>
      <w:r w:rsidRPr="00565E2C">
        <w:rPr>
          <w:i/>
          <w:iCs/>
        </w:rPr>
        <w:t>In vitro</w:t>
      </w:r>
      <w:r>
        <w:rPr>
          <w:iCs/>
        </w:rPr>
        <w:t xml:space="preserve"> testing of the apoptotic endothelial cells </w:t>
      </w:r>
      <w:r w:rsidR="00AC318A">
        <w:rPr>
          <w:iCs/>
        </w:rPr>
        <w:t xml:space="preserve">real- time PCR </w:t>
      </w:r>
      <w:r>
        <w:rPr>
          <w:iCs/>
        </w:rPr>
        <w:t xml:space="preserve">analysis and </w:t>
      </w:r>
      <w:proofErr w:type="spellStart"/>
      <w:r>
        <w:rPr>
          <w:iCs/>
        </w:rPr>
        <w:t>TdT</w:t>
      </w:r>
      <w:proofErr w:type="spellEnd"/>
      <w:r>
        <w:rPr>
          <w:iCs/>
        </w:rPr>
        <w:t xml:space="preserve">- mediated </w:t>
      </w:r>
      <w:proofErr w:type="spellStart"/>
      <w:r>
        <w:rPr>
          <w:iCs/>
        </w:rPr>
        <w:t>dUTP</w:t>
      </w:r>
      <w:proofErr w:type="spellEnd"/>
      <w:r>
        <w:rPr>
          <w:iCs/>
        </w:rPr>
        <w:t xml:space="preserve"> nick- end labeling (TUNEL) assays will identify apoptotic cells and determine</w:t>
      </w:r>
      <w:r w:rsidR="002922AF">
        <w:rPr>
          <w:iCs/>
        </w:rPr>
        <w:t xml:space="preserve"> whether TNF-α induces</w:t>
      </w:r>
      <w:r w:rsidR="004E1901">
        <w:rPr>
          <w:iCs/>
        </w:rPr>
        <w:t xml:space="preserve"> apoptosis i</w:t>
      </w:r>
      <w:r w:rsidR="002922AF">
        <w:rPr>
          <w:iCs/>
        </w:rPr>
        <w:t>n host cells infected with DENV versus uninfected cells</w:t>
      </w:r>
      <w:r>
        <w:rPr>
          <w:iCs/>
        </w:rPr>
        <w:t>. TNF-α</w:t>
      </w:r>
      <w:r w:rsidR="002922AF">
        <w:rPr>
          <w:iCs/>
        </w:rPr>
        <w:t xml:space="preserve"> exposure to endothelial cells</w:t>
      </w:r>
      <w:r>
        <w:rPr>
          <w:iCs/>
        </w:rPr>
        <w:t xml:space="preserve"> is hypo</w:t>
      </w:r>
      <w:r w:rsidR="002922AF">
        <w:rPr>
          <w:iCs/>
        </w:rPr>
        <w:t>thesized to promote apoptosis of</w:t>
      </w:r>
      <w:r>
        <w:rPr>
          <w:iCs/>
        </w:rPr>
        <w:t xml:space="preserve"> infected endothelial ce</w:t>
      </w:r>
      <w:r w:rsidR="002922AF">
        <w:rPr>
          <w:iCs/>
        </w:rPr>
        <w:t>lls</w:t>
      </w:r>
      <w:r>
        <w:rPr>
          <w:iCs/>
        </w:rPr>
        <w:t xml:space="preserve">. </w:t>
      </w:r>
    </w:p>
    <w:p w:rsidR="0019476A" w:rsidRDefault="0019476A" w:rsidP="00F44324">
      <w:pPr>
        <w:spacing w:line="480" w:lineRule="auto"/>
        <w:contextualSpacing/>
        <w:rPr>
          <w:b/>
          <w:i/>
          <w:iCs/>
        </w:rPr>
      </w:pPr>
    </w:p>
    <w:p w:rsidR="009C4322" w:rsidRPr="00B7706C" w:rsidRDefault="009C4322" w:rsidP="00F44324">
      <w:pPr>
        <w:spacing w:line="480" w:lineRule="auto"/>
        <w:contextualSpacing/>
        <w:rPr>
          <w:b/>
          <w:i/>
          <w:iCs/>
        </w:rPr>
      </w:pPr>
      <w:r w:rsidRPr="00B7706C">
        <w:rPr>
          <w:b/>
          <w:i/>
          <w:iCs/>
        </w:rPr>
        <w:lastRenderedPageBreak/>
        <w:t>Methods</w:t>
      </w:r>
    </w:p>
    <w:p w:rsidR="0019476A" w:rsidRPr="0019476A" w:rsidRDefault="00D74128" w:rsidP="00F44324">
      <w:pPr>
        <w:spacing w:line="480" w:lineRule="auto"/>
        <w:contextualSpacing/>
        <w:rPr>
          <w:i/>
          <w:iCs/>
        </w:rPr>
      </w:pPr>
      <w:r w:rsidRPr="0019476A">
        <w:rPr>
          <w:i/>
          <w:iCs/>
        </w:rPr>
        <w:t>Cell Cultur</w:t>
      </w:r>
      <w:r w:rsidR="005037EB" w:rsidRPr="0019476A">
        <w:rPr>
          <w:i/>
          <w:iCs/>
        </w:rPr>
        <w:t>e</w:t>
      </w:r>
    </w:p>
    <w:p w:rsidR="0019476A" w:rsidRDefault="005037EB" w:rsidP="0019476A">
      <w:pPr>
        <w:spacing w:line="480" w:lineRule="auto"/>
        <w:ind w:firstLine="720"/>
        <w:contextualSpacing/>
        <w:rPr>
          <w:iCs/>
        </w:rPr>
      </w:pPr>
      <w:r>
        <w:rPr>
          <w:iCs/>
        </w:rPr>
        <w:t>Human umbilical vein vascular</w:t>
      </w:r>
      <w:r w:rsidR="00D74128">
        <w:rPr>
          <w:iCs/>
        </w:rPr>
        <w:t xml:space="preserve"> endothelial cell line </w:t>
      </w:r>
      <w:r>
        <w:rPr>
          <w:iCs/>
        </w:rPr>
        <w:t>(HUV-EC) will be obtained from the American Type Cult</w:t>
      </w:r>
      <w:r w:rsidR="00E851A5">
        <w:rPr>
          <w:iCs/>
        </w:rPr>
        <w:t>ure Collection (ATCC CRL-1730), Manassas, VA. HUV-ECs</w:t>
      </w:r>
      <w:r w:rsidR="00E851A5" w:rsidRPr="00E851A5">
        <w:rPr>
          <w:iCs/>
        </w:rPr>
        <w:t xml:space="preserve"> </w:t>
      </w:r>
      <w:r w:rsidR="00E851A5">
        <w:t>will be grown in an</w:t>
      </w:r>
      <w:r w:rsidR="00E851A5" w:rsidRPr="00E851A5">
        <w:t xml:space="preserve"> ATCC-formula</w:t>
      </w:r>
      <w:r w:rsidR="00E851A5">
        <w:t xml:space="preserve">ted medium </w:t>
      </w:r>
      <w:r w:rsidR="008069AC">
        <w:t>(</w:t>
      </w:r>
      <w:r w:rsidR="00E851A5">
        <w:t>F-12K Medium</w:t>
      </w:r>
      <w:r w:rsidR="008069AC">
        <w:t>)</w:t>
      </w:r>
      <w:r w:rsidR="00E851A5">
        <w:t>, (ATCC</w:t>
      </w:r>
      <w:r w:rsidR="00E851A5" w:rsidRPr="00E851A5">
        <w:t xml:space="preserve"> 30-2004</w:t>
      </w:r>
      <w:r w:rsidR="00E851A5">
        <w:t>)</w:t>
      </w:r>
      <w:r w:rsidR="00E851A5" w:rsidRPr="00E851A5">
        <w:t xml:space="preserve">. To make the complete growth medium, </w:t>
      </w:r>
      <w:r w:rsidR="008069AC">
        <w:t>0.1 mg/ml heparin,</w:t>
      </w:r>
      <w:r w:rsidR="00E851A5" w:rsidRPr="00E851A5">
        <w:t xml:space="preserve"> 0.03-0.05 mg/ml endothelial cell growth supplement (ECGS)</w:t>
      </w:r>
      <w:r w:rsidR="008069AC">
        <w:t xml:space="preserve">, and </w:t>
      </w:r>
      <w:proofErr w:type="gramStart"/>
      <w:r w:rsidR="008069AC">
        <w:t>100 U/</w:t>
      </w:r>
      <w:proofErr w:type="spellStart"/>
      <w:r w:rsidR="008069AC">
        <w:t>mL</w:t>
      </w:r>
      <w:proofErr w:type="spellEnd"/>
      <w:r w:rsidR="008069AC">
        <w:t xml:space="preserve"> penicillin</w:t>
      </w:r>
      <w:proofErr w:type="gramEnd"/>
      <w:r w:rsidR="00E851A5">
        <w:t xml:space="preserve"> will be added; supplemented</w:t>
      </w:r>
      <w:r w:rsidR="00E851A5" w:rsidRPr="00E851A5">
        <w:t xml:space="preserve"> to a final concentration of 10% fetal bovine serum</w:t>
      </w:r>
      <w:r w:rsidR="00E851A5">
        <w:t xml:space="preserve">, according to the propagation instruction </w:t>
      </w:r>
      <w:r w:rsidR="008069AC">
        <w:t>provided by ATCC</w:t>
      </w:r>
      <w:r w:rsidR="00E851A5" w:rsidRPr="00E851A5">
        <w:t>.</w:t>
      </w:r>
      <w:r w:rsidR="008069AC">
        <w:t xml:space="preserve"> The cells will be incubated at 37</w:t>
      </w:r>
      <w:r w:rsidR="008069AC">
        <w:rPr>
          <w:vertAlign w:val="superscript"/>
        </w:rPr>
        <w:t>o</w:t>
      </w:r>
      <w:r w:rsidR="008069AC">
        <w:t>C in humidified air containing 5% CO</w:t>
      </w:r>
      <w:r w:rsidR="008069AC">
        <w:rPr>
          <w:vertAlign w:val="subscript"/>
        </w:rPr>
        <w:t>2</w:t>
      </w:r>
      <w:r w:rsidR="008069AC">
        <w:t xml:space="preserve"> for storage.</w:t>
      </w:r>
      <w:r w:rsidR="00E851A5">
        <w:rPr>
          <w:rFonts w:ascii="Arial" w:hAnsi="Arial" w:cs="Arial"/>
          <w:color w:val="333333"/>
          <w:sz w:val="18"/>
          <w:szCs w:val="18"/>
        </w:rPr>
        <w:br/>
      </w:r>
      <w:r w:rsidR="007E1EEE" w:rsidRPr="0019476A">
        <w:rPr>
          <w:i/>
          <w:iCs/>
        </w:rPr>
        <w:t>Preparation of virus stoc</w:t>
      </w:r>
      <w:r w:rsidR="0019476A" w:rsidRPr="0019476A">
        <w:rPr>
          <w:i/>
          <w:iCs/>
        </w:rPr>
        <w:t>k</w:t>
      </w:r>
    </w:p>
    <w:p w:rsidR="009C4322" w:rsidRDefault="007E1EEE" w:rsidP="0019476A">
      <w:pPr>
        <w:spacing w:line="480" w:lineRule="auto"/>
        <w:ind w:firstLine="720"/>
        <w:contextualSpacing/>
        <w:rPr>
          <w:iCs/>
        </w:rPr>
      </w:pPr>
      <w:r>
        <w:rPr>
          <w:iCs/>
        </w:rPr>
        <w:t>De</w:t>
      </w:r>
      <w:r w:rsidR="007E430E">
        <w:rPr>
          <w:iCs/>
        </w:rPr>
        <w:t>ngue type 2 viral strain 16681 will be</w:t>
      </w:r>
      <w:r>
        <w:rPr>
          <w:iCs/>
        </w:rPr>
        <w:t xml:space="preserve"> propagated </w:t>
      </w:r>
      <w:r w:rsidR="007E430E">
        <w:rPr>
          <w:iCs/>
        </w:rPr>
        <w:t xml:space="preserve">in C6/36 mosquito cell line and </w:t>
      </w:r>
      <w:proofErr w:type="gramStart"/>
      <w:r w:rsidR="007E430E">
        <w:rPr>
          <w:iCs/>
        </w:rPr>
        <w:t>cultured</w:t>
      </w:r>
      <w:proofErr w:type="gramEnd"/>
      <w:r w:rsidR="007E430E">
        <w:rPr>
          <w:iCs/>
        </w:rPr>
        <w:t xml:space="preserve"> in Medium 199 prior to infection, provided by </w:t>
      </w:r>
      <w:proofErr w:type="spellStart"/>
      <w:r w:rsidR="007E430E">
        <w:rPr>
          <w:iCs/>
        </w:rPr>
        <w:t>MyBioSource</w:t>
      </w:r>
      <w:proofErr w:type="spellEnd"/>
      <w:r w:rsidR="007E430E">
        <w:rPr>
          <w:iCs/>
        </w:rPr>
        <w:t xml:space="preserve">. Once received, addition of new media will be added and the HUV-ECs will be harvested for a 5 day period, cell debris will be removed by centrifugation, and the virus supernatant will be </w:t>
      </w:r>
      <w:proofErr w:type="spellStart"/>
      <w:r w:rsidR="007E430E">
        <w:rPr>
          <w:iCs/>
        </w:rPr>
        <w:t>aliquoted</w:t>
      </w:r>
      <w:proofErr w:type="spellEnd"/>
      <w:r w:rsidR="007E430E">
        <w:rPr>
          <w:iCs/>
        </w:rPr>
        <w:t xml:space="preserve"> and stored at -70</w:t>
      </w:r>
      <w:r w:rsidR="007E430E">
        <w:rPr>
          <w:iCs/>
          <w:vertAlign w:val="superscript"/>
        </w:rPr>
        <w:t>o</w:t>
      </w:r>
      <w:r w:rsidR="00442F35">
        <w:rPr>
          <w:iCs/>
        </w:rPr>
        <w:t xml:space="preserve">C until used. Virus will be titrated using the methods provide by </w:t>
      </w:r>
      <w:proofErr w:type="spellStart"/>
      <w:r w:rsidR="00442F35">
        <w:rPr>
          <w:iCs/>
        </w:rPr>
        <w:t>Espina</w:t>
      </w:r>
      <w:proofErr w:type="spellEnd"/>
      <w:r w:rsidR="00442F35">
        <w:rPr>
          <w:iCs/>
        </w:rPr>
        <w:t xml:space="preserve"> (2003). Cells will be seeded at a concentration of 1x10</w:t>
      </w:r>
      <w:r w:rsidR="00442F35">
        <w:rPr>
          <w:iCs/>
          <w:vertAlign w:val="superscript"/>
        </w:rPr>
        <w:t xml:space="preserve">6 </w:t>
      </w:r>
      <w:r w:rsidR="00442F35">
        <w:rPr>
          <w:iCs/>
        </w:rPr>
        <w:t>in</w:t>
      </w:r>
      <w:r w:rsidR="00442F35">
        <w:rPr>
          <w:iCs/>
          <w:vertAlign w:val="superscript"/>
        </w:rPr>
        <w:t xml:space="preserve"> </w:t>
      </w:r>
      <w:r w:rsidR="00442F35">
        <w:rPr>
          <w:iCs/>
        </w:rPr>
        <w:t>24-well plates and then incubated at 37</w:t>
      </w:r>
      <w:r w:rsidR="00442F35">
        <w:rPr>
          <w:iCs/>
          <w:vertAlign w:val="superscript"/>
        </w:rPr>
        <w:t>o</w:t>
      </w:r>
      <w:r w:rsidR="00442F35">
        <w:rPr>
          <w:iCs/>
        </w:rPr>
        <w:t xml:space="preserve">C for a period of 5 -7 days. Plaques will be visualized by staining with 1% crystal violet at performed by </w:t>
      </w:r>
      <w:proofErr w:type="spellStart"/>
      <w:r w:rsidR="00442F35">
        <w:rPr>
          <w:iCs/>
        </w:rPr>
        <w:t>Espina</w:t>
      </w:r>
      <w:proofErr w:type="spellEnd"/>
      <w:r w:rsidR="00442F35">
        <w:rPr>
          <w:iCs/>
        </w:rPr>
        <w:t xml:space="preserve"> (2003). </w:t>
      </w:r>
    </w:p>
    <w:p w:rsidR="0019476A" w:rsidRPr="0019476A" w:rsidRDefault="005102FF" w:rsidP="00B7706C">
      <w:pPr>
        <w:spacing w:line="480" w:lineRule="auto"/>
        <w:contextualSpacing/>
        <w:rPr>
          <w:i/>
          <w:iCs/>
        </w:rPr>
      </w:pPr>
      <w:r w:rsidRPr="0019476A">
        <w:rPr>
          <w:i/>
          <w:iCs/>
        </w:rPr>
        <w:t>Infection of</w:t>
      </w:r>
      <w:r w:rsidR="007E1EEE" w:rsidRPr="0019476A">
        <w:rPr>
          <w:i/>
          <w:iCs/>
        </w:rPr>
        <w:t xml:space="preserve"> e</w:t>
      </w:r>
      <w:r w:rsidRPr="0019476A">
        <w:rPr>
          <w:i/>
          <w:iCs/>
        </w:rPr>
        <w:t>ndoth</w:t>
      </w:r>
      <w:r w:rsidR="007E1EEE" w:rsidRPr="0019476A">
        <w:rPr>
          <w:i/>
          <w:iCs/>
        </w:rPr>
        <w:t>elial c</w:t>
      </w:r>
      <w:r w:rsidRPr="0019476A">
        <w:rPr>
          <w:i/>
          <w:iCs/>
        </w:rPr>
        <w:t>ells</w:t>
      </w:r>
    </w:p>
    <w:p w:rsidR="00B7706C" w:rsidRDefault="00442F35" w:rsidP="0019476A">
      <w:pPr>
        <w:spacing w:line="480" w:lineRule="auto"/>
        <w:ind w:firstLine="720"/>
        <w:contextualSpacing/>
        <w:rPr>
          <w:iCs/>
        </w:rPr>
      </w:pPr>
      <w:proofErr w:type="spellStart"/>
      <w:r>
        <w:rPr>
          <w:iCs/>
        </w:rPr>
        <w:t>Monolayers</w:t>
      </w:r>
      <w:proofErr w:type="spellEnd"/>
      <w:r>
        <w:rPr>
          <w:iCs/>
        </w:rPr>
        <w:t xml:space="preserve"> o</w:t>
      </w:r>
      <w:r w:rsidR="007B41E0">
        <w:rPr>
          <w:iCs/>
        </w:rPr>
        <w:t>f adhered endothelial cells will be</w:t>
      </w:r>
      <w:r>
        <w:rPr>
          <w:iCs/>
        </w:rPr>
        <w:t xml:space="preserve"> </w:t>
      </w:r>
      <w:proofErr w:type="spellStart"/>
      <w:r>
        <w:rPr>
          <w:iCs/>
        </w:rPr>
        <w:t>trypsinized</w:t>
      </w:r>
      <w:proofErr w:type="spellEnd"/>
      <w:r>
        <w:rPr>
          <w:iCs/>
        </w:rPr>
        <w:t xml:space="preserve"> and </w:t>
      </w:r>
      <w:proofErr w:type="spellStart"/>
      <w:r>
        <w:rPr>
          <w:iCs/>
        </w:rPr>
        <w:t>resuspended</w:t>
      </w:r>
      <w:proofErr w:type="spellEnd"/>
      <w:r>
        <w:rPr>
          <w:iCs/>
        </w:rPr>
        <w:t xml:space="preserve"> in growth medium.</w:t>
      </w:r>
      <w:r w:rsidR="007B41E0">
        <w:rPr>
          <w:iCs/>
        </w:rPr>
        <w:t xml:space="preserve"> Virus culture fluid will be added</w:t>
      </w:r>
      <w:r w:rsidR="0078011F">
        <w:rPr>
          <w:iCs/>
        </w:rPr>
        <w:t xml:space="preserve"> to three 24-well plates containing the HUV-EC</w:t>
      </w:r>
      <w:r w:rsidR="007B41E0">
        <w:rPr>
          <w:iCs/>
        </w:rPr>
        <w:t xml:space="preserve"> at a final concentration of 4x10</w:t>
      </w:r>
      <w:r w:rsidR="007B41E0">
        <w:rPr>
          <w:iCs/>
          <w:vertAlign w:val="superscript"/>
        </w:rPr>
        <w:t>4</w:t>
      </w:r>
      <w:r w:rsidR="007B41E0">
        <w:rPr>
          <w:iCs/>
        </w:rPr>
        <w:t xml:space="preserve"> PFU/</w:t>
      </w:r>
      <w:proofErr w:type="spellStart"/>
      <w:r w:rsidR="007B41E0">
        <w:rPr>
          <w:iCs/>
        </w:rPr>
        <w:t>mL</w:t>
      </w:r>
      <w:proofErr w:type="spellEnd"/>
      <w:r w:rsidR="007B41E0">
        <w:rPr>
          <w:iCs/>
        </w:rPr>
        <w:t xml:space="preserve"> and incubated at 37</w:t>
      </w:r>
      <w:r w:rsidR="007B41E0">
        <w:rPr>
          <w:iCs/>
          <w:vertAlign w:val="superscript"/>
        </w:rPr>
        <w:t>o</w:t>
      </w:r>
      <w:r w:rsidR="007B41E0">
        <w:rPr>
          <w:iCs/>
        </w:rPr>
        <w:t>C in an atmosphere of 5% CO</w:t>
      </w:r>
      <w:r w:rsidR="007B41E0">
        <w:rPr>
          <w:iCs/>
          <w:vertAlign w:val="subscript"/>
        </w:rPr>
        <w:t>2</w:t>
      </w:r>
      <w:r w:rsidR="007B41E0">
        <w:rPr>
          <w:iCs/>
        </w:rPr>
        <w:t xml:space="preserve"> during </w:t>
      </w:r>
      <w:r w:rsidR="007B41E0">
        <w:rPr>
          <w:iCs/>
        </w:rPr>
        <w:lastRenderedPageBreak/>
        <w:t>variou</w:t>
      </w:r>
      <w:r w:rsidR="00BC4B41">
        <w:rPr>
          <w:iCs/>
        </w:rPr>
        <w:t>s time intervals of one, two, and three days</w:t>
      </w:r>
      <w:r w:rsidR="007B41E0">
        <w:rPr>
          <w:iCs/>
        </w:rPr>
        <w:t xml:space="preserve">. </w:t>
      </w:r>
      <w:r w:rsidR="00BC4B41">
        <w:rPr>
          <w:iCs/>
        </w:rPr>
        <w:t xml:space="preserve">Uninfected endothelial cells </w:t>
      </w:r>
      <w:r w:rsidR="007B41E0">
        <w:rPr>
          <w:iCs/>
        </w:rPr>
        <w:t>will serve as</w:t>
      </w:r>
      <w:r w:rsidR="00BC4B41">
        <w:rPr>
          <w:iCs/>
        </w:rPr>
        <w:t xml:space="preserve"> a</w:t>
      </w:r>
      <w:r w:rsidR="007B41E0">
        <w:rPr>
          <w:iCs/>
        </w:rPr>
        <w:t xml:space="preserve"> control</w:t>
      </w:r>
      <w:r w:rsidR="00CC4EDD">
        <w:rPr>
          <w:iCs/>
        </w:rPr>
        <w:t>.</w:t>
      </w:r>
      <w:r w:rsidR="00AD4E15">
        <w:rPr>
          <w:iCs/>
        </w:rPr>
        <w:t xml:space="preserve"> Endothelial cells with only the virus present will also serve as a control.</w:t>
      </w:r>
    </w:p>
    <w:p w:rsidR="0019476A" w:rsidRDefault="005102FF" w:rsidP="0019476A">
      <w:pPr>
        <w:spacing w:line="480" w:lineRule="auto"/>
        <w:contextualSpacing/>
        <w:rPr>
          <w:i/>
          <w:iCs/>
        </w:rPr>
      </w:pPr>
      <w:r w:rsidRPr="0019476A">
        <w:rPr>
          <w:i/>
          <w:iCs/>
        </w:rPr>
        <w:t>Introduction of TNF-α</w:t>
      </w:r>
    </w:p>
    <w:p w:rsidR="00CC4EDD" w:rsidRPr="0019476A" w:rsidRDefault="00CC4EDD" w:rsidP="0019476A">
      <w:pPr>
        <w:spacing w:line="480" w:lineRule="auto"/>
        <w:ind w:firstLine="720"/>
        <w:contextualSpacing/>
        <w:rPr>
          <w:i/>
          <w:iCs/>
        </w:rPr>
      </w:pPr>
      <w:r>
        <w:rPr>
          <w:iCs/>
        </w:rPr>
        <w:t xml:space="preserve"> </w:t>
      </w:r>
      <w:r>
        <w:rPr>
          <w:rFonts w:eastAsia="Times New Roman"/>
          <w:kern w:val="36"/>
        </w:rPr>
        <w:t>Human TNF-α recombinant p</w:t>
      </w:r>
      <w:r w:rsidRPr="00CC4EDD">
        <w:rPr>
          <w:rFonts w:eastAsia="Times New Roman"/>
          <w:kern w:val="36"/>
        </w:rPr>
        <w:t>rotein</w:t>
      </w:r>
      <w:r>
        <w:rPr>
          <w:rFonts w:eastAsia="Times New Roman"/>
          <w:kern w:val="36"/>
        </w:rPr>
        <w:t xml:space="preserve"> provided by </w:t>
      </w:r>
      <w:proofErr w:type="spellStart"/>
      <w:r>
        <w:rPr>
          <w:rFonts w:eastAsia="Times New Roman"/>
          <w:kern w:val="36"/>
        </w:rPr>
        <w:t>eBioscience</w:t>
      </w:r>
      <w:proofErr w:type="spellEnd"/>
      <w:r>
        <w:rPr>
          <w:rFonts w:eastAsia="Times New Roman"/>
          <w:kern w:val="36"/>
        </w:rPr>
        <w:t xml:space="preserve"> (14-8329-63) will be introduced by micropipette technique at quantities of 5 µg during each of the time intervals describ</w:t>
      </w:r>
      <w:r w:rsidR="00B7706C">
        <w:rPr>
          <w:rFonts w:eastAsia="Times New Roman"/>
          <w:kern w:val="36"/>
        </w:rPr>
        <w:t>ed previously</w:t>
      </w:r>
      <w:r>
        <w:rPr>
          <w:rFonts w:eastAsia="Times New Roman"/>
          <w:kern w:val="36"/>
        </w:rPr>
        <w:t xml:space="preserve">. </w:t>
      </w:r>
      <w:r w:rsidR="0078011F">
        <w:rPr>
          <w:rFonts w:eastAsia="Times New Roman"/>
          <w:kern w:val="36"/>
        </w:rPr>
        <w:t>After exposed to TNF-α, the cells will be tested for the presence of apoptotic cells in time intervals of 30 minutes, 1 hour, 2 hours, and 5 hours.</w:t>
      </w:r>
      <w:r w:rsidR="00BC4B41">
        <w:rPr>
          <w:rFonts w:eastAsia="Times New Roman"/>
          <w:kern w:val="36"/>
        </w:rPr>
        <w:t xml:space="preserve"> Endothelial cells presented with the TNF-α, but without the virus, will serve as a control.</w:t>
      </w:r>
    </w:p>
    <w:p w:rsidR="0019476A" w:rsidRDefault="007E1EEE" w:rsidP="0019476A">
      <w:pPr>
        <w:spacing w:line="480" w:lineRule="auto"/>
        <w:contextualSpacing/>
        <w:rPr>
          <w:i/>
          <w:iCs/>
        </w:rPr>
      </w:pPr>
      <w:r w:rsidRPr="0019476A">
        <w:rPr>
          <w:i/>
          <w:iCs/>
        </w:rPr>
        <w:t xml:space="preserve">Terminal </w:t>
      </w:r>
      <w:proofErr w:type="spellStart"/>
      <w:r w:rsidRPr="0019476A">
        <w:rPr>
          <w:i/>
          <w:iCs/>
        </w:rPr>
        <w:t>d</w:t>
      </w:r>
      <w:r w:rsidR="005102FF" w:rsidRPr="0019476A">
        <w:rPr>
          <w:i/>
          <w:iCs/>
        </w:rPr>
        <w:t>eoxynuceotidyl</w:t>
      </w:r>
      <w:proofErr w:type="spellEnd"/>
      <w:r w:rsidR="005102FF" w:rsidRPr="0019476A">
        <w:rPr>
          <w:i/>
          <w:iCs/>
        </w:rPr>
        <w:t xml:space="preserve"> </w:t>
      </w:r>
      <w:proofErr w:type="spellStart"/>
      <w:r w:rsidR="005102FF" w:rsidRPr="0019476A">
        <w:rPr>
          <w:i/>
          <w:iCs/>
        </w:rPr>
        <w:t>transferase</w:t>
      </w:r>
      <w:proofErr w:type="spellEnd"/>
      <w:r w:rsidR="005102FF" w:rsidRPr="0019476A">
        <w:rPr>
          <w:i/>
          <w:iCs/>
        </w:rPr>
        <w:t xml:space="preserve">- mediated </w:t>
      </w:r>
      <w:proofErr w:type="spellStart"/>
      <w:r w:rsidR="005102FF" w:rsidRPr="0019476A">
        <w:rPr>
          <w:i/>
          <w:iCs/>
        </w:rPr>
        <w:t>dUTP</w:t>
      </w:r>
      <w:proofErr w:type="spellEnd"/>
      <w:r w:rsidR="005102FF" w:rsidRPr="0019476A">
        <w:rPr>
          <w:i/>
          <w:iCs/>
        </w:rPr>
        <w:t xml:space="preserve"> nick-end labeling (TUNEL) assay</w:t>
      </w:r>
    </w:p>
    <w:p w:rsidR="005102FF" w:rsidRDefault="0078011F" w:rsidP="0019476A">
      <w:pPr>
        <w:spacing w:line="480" w:lineRule="auto"/>
        <w:ind w:firstLine="720"/>
        <w:contextualSpacing/>
        <w:rPr>
          <w:iCs/>
        </w:rPr>
      </w:pPr>
      <w:r>
        <w:rPr>
          <w:iCs/>
        </w:rPr>
        <w:t xml:space="preserve">TUNEL assays will be performed on the </w:t>
      </w:r>
      <w:r w:rsidR="004E301A">
        <w:rPr>
          <w:iCs/>
        </w:rPr>
        <w:t xml:space="preserve">endothelial cells to detect the presence of DNA strand breaks by the binding of </w:t>
      </w:r>
      <w:proofErr w:type="spellStart"/>
      <w:r w:rsidR="004E301A">
        <w:rPr>
          <w:iCs/>
        </w:rPr>
        <w:t>deoxynucleotidyl</w:t>
      </w:r>
      <w:proofErr w:type="spellEnd"/>
      <w:r w:rsidR="004E301A">
        <w:rPr>
          <w:iCs/>
        </w:rPr>
        <w:t xml:space="preserve"> </w:t>
      </w:r>
      <w:proofErr w:type="spellStart"/>
      <w:r w:rsidR="004E301A">
        <w:rPr>
          <w:iCs/>
        </w:rPr>
        <w:t>trasferase</w:t>
      </w:r>
      <w:proofErr w:type="spellEnd"/>
      <w:r w:rsidR="004E301A">
        <w:rPr>
          <w:iCs/>
        </w:rPr>
        <w:t xml:space="preserve"> to the 3’ OH ends of the DNA. The TUNEL assay provided by </w:t>
      </w:r>
      <w:proofErr w:type="spellStart"/>
      <w:r w:rsidR="004E301A">
        <w:rPr>
          <w:iCs/>
        </w:rPr>
        <w:t>Gavrieli’s</w:t>
      </w:r>
      <w:proofErr w:type="spellEnd"/>
      <w:r w:rsidR="004E301A">
        <w:rPr>
          <w:iCs/>
        </w:rPr>
        <w:t xml:space="preserve"> commercial kit will be followed according to the manufacturer’s protocol. The cells will be visualized under the fluorescent microscope for determination of apoptosis. </w:t>
      </w:r>
      <w:r w:rsidR="00BC4B41">
        <w:rPr>
          <w:iCs/>
        </w:rPr>
        <w:t>Apoptotic cells will be counted.</w:t>
      </w:r>
    </w:p>
    <w:p w:rsidR="0019476A" w:rsidRDefault="005102FF" w:rsidP="00CC4EDD">
      <w:pPr>
        <w:spacing w:line="480" w:lineRule="auto"/>
        <w:contextualSpacing/>
        <w:rPr>
          <w:iCs/>
        </w:rPr>
      </w:pPr>
      <w:r w:rsidRPr="0019476A">
        <w:rPr>
          <w:i/>
          <w:iCs/>
        </w:rPr>
        <w:t>Detection of TNF-α</w:t>
      </w:r>
      <w:r w:rsidR="003F2EE4" w:rsidRPr="0019476A">
        <w:rPr>
          <w:i/>
          <w:iCs/>
        </w:rPr>
        <w:t xml:space="preserve"> </w:t>
      </w:r>
      <w:r w:rsidR="00117FAB" w:rsidRPr="0019476A">
        <w:rPr>
          <w:i/>
          <w:iCs/>
        </w:rPr>
        <w:t>by reverse transcription real time PCR</w:t>
      </w:r>
      <w:r w:rsidR="00117FAB">
        <w:rPr>
          <w:iCs/>
        </w:rPr>
        <w:t xml:space="preserve"> </w:t>
      </w:r>
    </w:p>
    <w:p w:rsidR="005102FF" w:rsidRDefault="00BC4B41" w:rsidP="0019476A">
      <w:pPr>
        <w:spacing w:line="480" w:lineRule="auto"/>
        <w:ind w:firstLine="720"/>
        <w:contextualSpacing/>
        <w:rPr>
          <w:iCs/>
        </w:rPr>
      </w:pPr>
      <w:r>
        <w:rPr>
          <w:iCs/>
        </w:rPr>
        <w:t>To detect the presence of the TNF-α in the apoptotic endothelial cells</w:t>
      </w:r>
      <w:r w:rsidR="00AD4E15">
        <w:rPr>
          <w:iCs/>
        </w:rPr>
        <w:t xml:space="preserve">, which will determine whether the cause of apoptosis is because of the cytokine, PCR will be conducted. </w:t>
      </w:r>
      <w:r w:rsidR="00117FAB">
        <w:rPr>
          <w:iCs/>
        </w:rPr>
        <w:t>RNA will b</w:t>
      </w:r>
      <w:r w:rsidR="003F2EE4">
        <w:rPr>
          <w:iCs/>
        </w:rPr>
        <w:t xml:space="preserve">e extracted from the </w:t>
      </w:r>
      <w:r w:rsidR="00117FAB">
        <w:rPr>
          <w:iCs/>
        </w:rPr>
        <w:t xml:space="preserve">cells and will be </w:t>
      </w:r>
      <w:proofErr w:type="gramStart"/>
      <w:r w:rsidR="00117FAB">
        <w:rPr>
          <w:iCs/>
        </w:rPr>
        <w:t>reverse</w:t>
      </w:r>
      <w:proofErr w:type="gramEnd"/>
      <w:r w:rsidR="00117FAB">
        <w:rPr>
          <w:iCs/>
        </w:rPr>
        <w:t xml:space="preserve"> transcribed to </w:t>
      </w:r>
      <w:proofErr w:type="spellStart"/>
      <w:r w:rsidR="00117FAB">
        <w:rPr>
          <w:iCs/>
        </w:rPr>
        <w:t>cDNA</w:t>
      </w:r>
      <w:proofErr w:type="spellEnd"/>
      <w:r w:rsidR="00117FAB">
        <w:rPr>
          <w:iCs/>
        </w:rPr>
        <w:t>. The TNF-α will be amplified with techniques performed</w:t>
      </w:r>
      <w:r w:rsidR="00B7706C">
        <w:rPr>
          <w:iCs/>
        </w:rPr>
        <w:t xml:space="preserve"> by Chen (2007) in which</w:t>
      </w:r>
      <w:r w:rsidR="00117FAB">
        <w:rPr>
          <w:iCs/>
        </w:rPr>
        <w:t xml:space="preserve"> Real-Time PCR detection is used. The sequences of TNF-α</w:t>
      </w:r>
      <w:r w:rsidR="003F2EE4">
        <w:rPr>
          <w:iCs/>
        </w:rPr>
        <w:t xml:space="preserve"> </w:t>
      </w:r>
      <w:proofErr w:type="gramStart"/>
      <w:r w:rsidR="003F2EE4">
        <w:rPr>
          <w:iCs/>
        </w:rPr>
        <w:t>primers</w:t>
      </w:r>
      <w:proofErr w:type="gramEnd"/>
      <w:r w:rsidR="003F2EE4">
        <w:rPr>
          <w:iCs/>
        </w:rPr>
        <w:t xml:space="preserve"> are 5’-ATCCGCCTGGAGTTCTGGAA-3’ will be used to</w:t>
      </w:r>
      <w:r w:rsidR="00B7706C">
        <w:rPr>
          <w:iCs/>
        </w:rPr>
        <w:t xml:space="preserve"> identify TNF-α.</w:t>
      </w:r>
    </w:p>
    <w:p w:rsidR="00AD4E15" w:rsidRDefault="00AD4E15" w:rsidP="00CC4EDD">
      <w:pPr>
        <w:spacing w:line="480" w:lineRule="auto"/>
        <w:contextualSpacing/>
        <w:rPr>
          <w:i/>
          <w:iCs/>
        </w:rPr>
      </w:pPr>
    </w:p>
    <w:p w:rsidR="00AD4E15" w:rsidRDefault="00AD4E15" w:rsidP="00CC4EDD">
      <w:pPr>
        <w:spacing w:line="480" w:lineRule="auto"/>
        <w:contextualSpacing/>
        <w:rPr>
          <w:i/>
          <w:iCs/>
        </w:rPr>
      </w:pPr>
    </w:p>
    <w:p w:rsidR="0019476A" w:rsidRDefault="007E1EEE" w:rsidP="00CC4EDD">
      <w:pPr>
        <w:spacing w:line="480" w:lineRule="auto"/>
        <w:contextualSpacing/>
        <w:rPr>
          <w:iCs/>
        </w:rPr>
      </w:pPr>
      <w:r w:rsidRPr="0019476A">
        <w:rPr>
          <w:i/>
          <w:iCs/>
        </w:rPr>
        <w:lastRenderedPageBreak/>
        <w:t>Detection of DENV through nucleic acid sequenced- based amplification (NASBA)</w:t>
      </w:r>
    </w:p>
    <w:p w:rsidR="005102FF" w:rsidRDefault="003D0A54" w:rsidP="0019476A">
      <w:pPr>
        <w:spacing w:line="480" w:lineRule="auto"/>
        <w:ind w:firstLine="720"/>
        <w:contextualSpacing/>
        <w:rPr>
          <w:iCs/>
        </w:rPr>
      </w:pPr>
      <w:r>
        <w:rPr>
          <w:iCs/>
        </w:rPr>
        <w:t>Nucleic acid from DENV will be isolated and amplified as performed by the manufacturer’s instructions (</w:t>
      </w:r>
      <w:proofErr w:type="spellStart"/>
      <w:r>
        <w:rPr>
          <w:iCs/>
        </w:rPr>
        <w:t>Organon</w:t>
      </w:r>
      <w:proofErr w:type="spellEnd"/>
      <w:r>
        <w:rPr>
          <w:iCs/>
        </w:rPr>
        <w:t xml:space="preserve"> </w:t>
      </w:r>
      <w:proofErr w:type="spellStart"/>
      <w:r>
        <w:rPr>
          <w:iCs/>
        </w:rPr>
        <w:t>Teknika</w:t>
      </w:r>
      <w:proofErr w:type="spellEnd"/>
      <w:r>
        <w:rPr>
          <w:iCs/>
        </w:rPr>
        <w:t xml:space="preserve">). Nucleic acid detection on the apoptotic cells will be performed by incubation of the amplification products and a dengue virus- specified probe then analyzed through gel electrophoresis as performed by </w:t>
      </w:r>
      <w:proofErr w:type="spellStart"/>
      <w:r>
        <w:rPr>
          <w:iCs/>
        </w:rPr>
        <w:t>Usawattanakul</w:t>
      </w:r>
      <w:proofErr w:type="spellEnd"/>
      <w:r>
        <w:rPr>
          <w:iCs/>
        </w:rPr>
        <w:t xml:space="preserve"> (2002).  </w:t>
      </w:r>
    </w:p>
    <w:p w:rsidR="0019476A" w:rsidRDefault="003D0A54" w:rsidP="00BC4B41">
      <w:pPr>
        <w:spacing w:line="480" w:lineRule="auto"/>
        <w:contextualSpacing/>
        <w:rPr>
          <w:iCs/>
        </w:rPr>
      </w:pPr>
      <w:r w:rsidRPr="00BC4B41">
        <w:rPr>
          <w:i/>
          <w:iCs/>
        </w:rPr>
        <w:t>Statistical Analysis</w:t>
      </w:r>
    </w:p>
    <w:p w:rsidR="00CC4EDD" w:rsidRDefault="003D0A54" w:rsidP="00B7706C">
      <w:pPr>
        <w:spacing w:line="480" w:lineRule="auto"/>
        <w:ind w:firstLine="720"/>
        <w:contextualSpacing/>
        <w:rPr>
          <w:iCs/>
        </w:rPr>
      </w:pPr>
      <w:r>
        <w:rPr>
          <w:iCs/>
        </w:rPr>
        <w:t>The difference between the experimental group and the control will be analy</w:t>
      </w:r>
      <w:r w:rsidR="00B7706C">
        <w:rPr>
          <w:iCs/>
        </w:rPr>
        <w:t xml:space="preserve">zed using analysis of variance. Statistical significance will be considered by </w:t>
      </w:r>
      <w:r w:rsidR="00B7706C" w:rsidRPr="00B7706C">
        <w:rPr>
          <w:i/>
          <w:iCs/>
        </w:rPr>
        <w:t>P</w:t>
      </w:r>
      <w:r w:rsidR="00B7706C">
        <w:rPr>
          <w:iCs/>
        </w:rPr>
        <w:t>-values &lt; 0.05. The Statistical Package for the Social Sciences will be employed.</w:t>
      </w:r>
    </w:p>
    <w:p w:rsidR="00B7706C" w:rsidRPr="00B7706C" w:rsidRDefault="00B7706C" w:rsidP="00B7706C">
      <w:pPr>
        <w:spacing w:line="480" w:lineRule="auto"/>
        <w:rPr>
          <w:b/>
          <w:i/>
        </w:rPr>
      </w:pPr>
      <w:r w:rsidRPr="00B7706C">
        <w:rPr>
          <w:b/>
          <w:i/>
        </w:rPr>
        <w:t>Timeline</w:t>
      </w:r>
    </w:p>
    <w:p w:rsidR="00B7706C" w:rsidRDefault="00B7706C" w:rsidP="00B7706C">
      <w:pPr>
        <w:spacing w:line="480" w:lineRule="auto"/>
      </w:pPr>
      <w:r>
        <w:t>January 1, 2011</w:t>
      </w:r>
    </w:p>
    <w:p w:rsidR="00B7706C" w:rsidRDefault="00B7706C" w:rsidP="00B7706C">
      <w:pPr>
        <w:pStyle w:val="ListParagraph"/>
        <w:numPr>
          <w:ilvl w:val="0"/>
          <w:numId w:val="1"/>
        </w:numPr>
        <w:spacing w:line="480" w:lineRule="auto"/>
      </w:pPr>
      <w:r>
        <w:t>Endothelial cells received and seeded, new medium will be prepared, and supplementary nutrients will be added. Incubation until infection with virus.</w:t>
      </w:r>
    </w:p>
    <w:p w:rsidR="00B7706C" w:rsidRDefault="00B7706C" w:rsidP="00B7706C">
      <w:pPr>
        <w:pStyle w:val="ListParagraph"/>
        <w:numPr>
          <w:ilvl w:val="0"/>
          <w:numId w:val="1"/>
        </w:numPr>
        <w:spacing w:line="480" w:lineRule="auto"/>
      </w:pPr>
      <w:r>
        <w:t>Dengue-2 virus received, new medium will be added, and cells will be harvested for 5 day period</w:t>
      </w:r>
    </w:p>
    <w:p w:rsidR="00B7706C" w:rsidRDefault="00B7706C" w:rsidP="00B7706C">
      <w:pPr>
        <w:pStyle w:val="ListParagraph"/>
        <w:numPr>
          <w:ilvl w:val="0"/>
          <w:numId w:val="1"/>
        </w:numPr>
        <w:spacing w:line="480" w:lineRule="auto"/>
      </w:pPr>
      <w:r>
        <w:t>Recombinant TNF-α received and preserved.</w:t>
      </w:r>
    </w:p>
    <w:p w:rsidR="00B7706C" w:rsidRDefault="00B7706C" w:rsidP="00B7706C">
      <w:pPr>
        <w:spacing w:line="480" w:lineRule="auto"/>
      </w:pPr>
      <w:r>
        <w:t>January 6, 2011</w:t>
      </w:r>
    </w:p>
    <w:p w:rsidR="00B7706C" w:rsidRPr="00733001" w:rsidRDefault="00B7706C" w:rsidP="00B7706C">
      <w:pPr>
        <w:pStyle w:val="ListParagraph"/>
        <w:numPr>
          <w:ilvl w:val="0"/>
          <w:numId w:val="2"/>
        </w:numPr>
        <w:spacing w:line="480" w:lineRule="auto"/>
      </w:pPr>
      <w:r>
        <w:rPr>
          <w:iCs/>
        </w:rPr>
        <w:t xml:space="preserve">Cell debris will be removed by centrifugation and the virus supernatant will be </w:t>
      </w:r>
      <w:proofErr w:type="spellStart"/>
      <w:r>
        <w:rPr>
          <w:iCs/>
        </w:rPr>
        <w:t>aliquoted</w:t>
      </w:r>
      <w:proofErr w:type="spellEnd"/>
      <w:r>
        <w:rPr>
          <w:iCs/>
        </w:rPr>
        <w:t xml:space="preserve"> and stored at -70</w:t>
      </w:r>
      <w:r>
        <w:rPr>
          <w:iCs/>
          <w:vertAlign w:val="superscript"/>
        </w:rPr>
        <w:t>o</w:t>
      </w:r>
      <w:r>
        <w:rPr>
          <w:iCs/>
        </w:rPr>
        <w:t>C until added to endothelial cell culture.</w:t>
      </w:r>
    </w:p>
    <w:p w:rsidR="00B7706C" w:rsidRDefault="00B7706C" w:rsidP="00B7706C">
      <w:pPr>
        <w:spacing w:line="480" w:lineRule="auto"/>
      </w:pPr>
      <w:r>
        <w:t>January 8, 2011</w:t>
      </w:r>
    </w:p>
    <w:p w:rsidR="00B7706C" w:rsidRPr="00E26EB7" w:rsidRDefault="00B7706C" w:rsidP="00B7706C">
      <w:pPr>
        <w:pStyle w:val="ListParagraph"/>
        <w:numPr>
          <w:ilvl w:val="0"/>
          <w:numId w:val="2"/>
        </w:numPr>
        <w:spacing w:line="480" w:lineRule="auto"/>
      </w:pPr>
      <w:r>
        <w:rPr>
          <w:iCs/>
        </w:rPr>
        <w:t>Virus will be titrated. Cells will be incubated for 5-7 days.</w:t>
      </w:r>
    </w:p>
    <w:p w:rsidR="00B7706C" w:rsidRDefault="00B7706C" w:rsidP="00B7706C">
      <w:pPr>
        <w:spacing w:line="480" w:lineRule="auto"/>
      </w:pPr>
      <w:r>
        <w:lastRenderedPageBreak/>
        <w:t>January 15, 2011</w:t>
      </w:r>
    </w:p>
    <w:p w:rsidR="00B7706C" w:rsidRDefault="00B7706C" w:rsidP="00B7706C">
      <w:pPr>
        <w:pStyle w:val="ListParagraph"/>
        <w:numPr>
          <w:ilvl w:val="0"/>
          <w:numId w:val="2"/>
        </w:numPr>
        <w:spacing w:line="480" w:lineRule="auto"/>
      </w:pPr>
      <w:r>
        <w:t>Infection of endothelial cells with viral culture fluid.</w:t>
      </w:r>
    </w:p>
    <w:p w:rsidR="00B7706C" w:rsidRDefault="00B7706C" w:rsidP="00B7706C">
      <w:pPr>
        <w:pStyle w:val="ListParagraph"/>
        <w:numPr>
          <w:ilvl w:val="0"/>
          <w:numId w:val="2"/>
        </w:numPr>
        <w:spacing w:line="480" w:lineRule="auto"/>
      </w:pPr>
      <w:r>
        <w:t xml:space="preserve">Observation </w:t>
      </w:r>
      <w:r w:rsidR="00AD4E15">
        <w:t>of cells every 1, 2, and 3 days</w:t>
      </w:r>
      <w:r>
        <w:t>.</w:t>
      </w:r>
    </w:p>
    <w:p w:rsidR="00B7706C" w:rsidRDefault="00AD4E15" w:rsidP="00B7706C">
      <w:pPr>
        <w:pStyle w:val="ListParagraph"/>
        <w:numPr>
          <w:ilvl w:val="0"/>
          <w:numId w:val="2"/>
        </w:numPr>
        <w:spacing w:line="480" w:lineRule="auto"/>
      </w:pPr>
      <w:r>
        <w:t>Each day</w:t>
      </w:r>
      <w:r w:rsidR="00B7706C">
        <w:t xml:space="preserve"> observed, TNF-α will be added. Once added, testing of apoptosis and of the presence of TNF-α and DENV will be conducted in the given time frames of 30 minutes, 1 hour, 2 hours, and 5 hours.</w:t>
      </w:r>
    </w:p>
    <w:p w:rsidR="00B7706C" w:rsidRDefault="00B7706C" w:rsidP="00B7706C">
      <w:pPr>
        <w:spacing w:line="480" w:lineRule="auto"/>
      </w:pPr>
      <w:r>
        <w:t>January 20, 2011</w:t>
      </w:r>
    </w:p>
    <w:p w:rsidR="00B7706C" w:rsidRDefault="00B7706C" w:rsidP="00B7706C">
      <w:pPr>
        <w:pStyle w:val="ListParagraph"/>
        <w:numPr>
          <w:ilvl w:val="0"/>
          <w:numId w:val="3"/>
        </w:numPr>
        <w:spacing w:line="480" w:lineRule="auto"/>
      </w:pPr>
      <w:r>
        <w:t xml:space="preserve">Data will be processed and analyzed. </w:t>
      </w:r>
    </w:p>
    <w:p w:rsidR="00B7706C" w:rsidRPr="00B7706C" w:rsidRDefault="00B7706C" w:rsidP="00B7706C">
      <w:pPr>
        <w:spacing w:line="480" w:lineRule="auto"/>
        <w:rPr>
          <w:b/>
          <w:i/>
        </w:rPr>
      </w:pPr>
      <w:r w:rsidRPr="00B7706C">
        <w:rPr>
          <w:b/>
          <w:i/>
        </w:rPr>
        <w:t>Significance of Expected Results</w:t>
      </w:r>
    </w:p>
    <w:p w:rsidR="00B7706C" w:rsidRDefault="00B7706C" w:rsidP="00B7706C">
      <w:pPr>
        <w:spacing w:line="480" w:lineRule="auto"/>
        <w:ind w:firstLine="720"/>
      </w:pPr>
      <w:r>
        <w:t xml:space="preserve">Dengue research conducted for the understanding of the pathogenesis of the virus is crucial because </w:t>
      </w:r>
      <w:r w:rsidR="00AD4E15">
        <w:t>little is known about</w:t>
      </w:r>
      <w:r>
        <w:t xml:space="preserve"> the mechanism of how DENV infects its hosts. Deciphering the relationship between the virus and the immunological response of the host is </w:t>
      </w:r>
      <w:proofErr w:type="gramStart"/>
      <w:r>
        <w:t>key</w:t>
      </w:r>
      <w:proofErr w:type="gramEnd"/>
      <w:r>
        <w:t xml:space="preserve"> in understanding how DENV pathogenesis occurs in response to the presence of cytokines such as TNF-α. Programmed cell death or apoptosis of neighboring cells may be caused by an indirect relationship between virus- infected cells and TNF-α, therefore contributing to the spread of the virus. On the other hand, apoptosis of virus- infected cells may be due to a direct relationship between the virus and the host immune system. Expanding on the information already provided about the relationship between the host and the virus will potentially affect the rate of which a vaccine is produced to combat the virus.</w:t>
      </w:r>
    </w:p>
    <w:p w:rsidR="00AD4E15" w:rsidRDefault="00AD4E15" w:rsidP="00B7706C">
      <w:pPr>
        <w:spacing w:line="480" w:lineRule="auto"/>
        <w:rPr>
          <w:b/>
          <w:i/>
        </w:rPr>
      </w:pPr>
    </w:p>
    <w:p w:rsidR="00AD4E15" w:rsidRDefault="00AD4E15" w:rsidP="00B7706C">
      <w:pPr>
        <w:spacing w:line="480" w:lineRule="auto"/>
        <w:rPr>
          <w:b/>
          <w:i/>
        </w:rPr>
      </w:pPr>
    </w:p>
    <w:p w:rsidR="00B7706C" w:rsidRPr="00B7706C" w:rsidRDefault="00B7706C" w:rsidP="00B7706C">
      <w:pPr>
        <w:spacing w:line="480" w:lineRule="auto"/>
        <w:rPr>
          <w:b/>
          <w:i/>
        </w:rPr>
      </w:pPr>
      <w:r w:rsidRPr="00B7706C">
        <w:rPr>
          <w:b/>
          <w:i/>
        </w:rPr>
        <w:lastRenderedPageBreak/>
        <w:t>Equipment</w:t>
      </w:r>
    </w:p>
    <w:tbl>
      <w:tblPr>
        <w:tblStyle w:val="TableGrid"/>
        <w:tblW w:w="0" w:type="auto"/>
        <w:tblLook w:val="04A0"/>
      </w:tblPr>
      <w:tblGrid>
        <w:gridCol w:w="2988"/>
        <w:gridCol w:w="6588"/>
      </w:tblGrid>
      <w:tr w:rsidR="00B7706C" w:rsidTr="00AD4E15">
        <w:tc>
          <w:tcPr>
            <w:tcW w:w="2988" w:type="dxa"/>
          </w:tcPr>
          <w:p w:rsidR="00B7706C" w:rsidRDefault="00B7706C" w:rsidP="007942ED">
            <w:pPr>
              <w:spacing w:line="360" w:lineRule="auto"/>
            </w:pPr>
            <w:r>
              <w:t>Laboratory</w:t>
            </w:r>
          </w:p>
        </w:tc>
        <w:tc>
          <w:tcPr>
            <w:tcW w:w="6588" w:type="dxa"/>
          </w:tcPr>
          <w:p w:rsidR="00B7706C" w:rsidRDefault="00B7706C" w:rsidP="007942ED">
            <w:pPr>
              <w:spacing w:line="360" w:lineRule="auto"/>
            </w:pPr>
            <w:r>
              <w:t>Facility will be provided by Florida Gulf Coast University.</w:t>
            </w:r>
          </w:p>
        </w:tc>
      </w:tr>
      <w:tr w:rsidR="00B7706C" w:rsidTr="00AD4E15">
        <w:tc>
          <w:tcPr>
            <w:tcW w:w="2988" w:type="dxa"/>
          </w:tcPr>
          <w:p w:rsidR="00B7706C" w:rsidRDefault="00B7706C" w:rsidP="007942ED">
            <w:pPr>
              <w:spacing w:line="360" w:lineRule="auto"/>
            </w:pPr>
            <w:r>
              <w:t>Basic laboratory materials</w:t>
            </w:r>
          </w:p>
        </w:tc>
        <w:tc>
          <w:tcPr>
            <w:tcW w:w="6588" w:type="dxa"/>
          </w:tcPr>
          <w:p w:rsidR="00B7706C" w:rsidRPr="00D75A65" w:rsidRDefault="00B7706C" w:rsidP="007942ED">
            <w:pPr>
              <w:spacing w:line="360" w:lineRule="auto"/>
            </w:pPr>
            <w:r w:rsidRPr="00D75A65">
              <w:t>Pipettes (1mL, 5mL, 10mL, and 25mL)</w:t>
            </w:r>
          </w:p>
          <w:p w:rsidR="00B7706C" w:rsidRPr="00D75A65" w:rsidRDefault="00B7706C" w:rsidP="007942ED">
            <w:pPr>
              <w:spacing w:line="360" w:lineRule="auto"/>
            </w:pPr>
            <w:r w:rsidRPr="00D75A65">
              <w:t>Micropipette Tips</w:t>
            </w:r>
          </w:p>
          <w:p w:rsidR="00B7706C" w:rsidRPr="00D75A65" w:rsidRDefault="00B7706C" w:rsidP="007942ED">
            <w:pPr>
              <w:spacing w:line="360" w:lineRule="auto"/>
            </w:pPr>
            <w:proofErr w:type="spellStart"/>
            <w:r w:rsidRPr="00D75A65">
              <w:t>Micropipetter</w:t>
            </w:r>
            <w:proofErr w:type="spellEnd"/>
          </w:p>
          <w:p w:rsidR="00B7706C" w:rsidRPr="00D75A65" w:rsidRDefault="00B7706C" w:rsidP="007942ED">
            <w:pPr>
              <w:spacing w:line="360" w:lineRule="auto"/>
            </w:pPr>
            <w:r w:rsidRPr="00D75A65">
              <w:t>15mL Conical Vials</w:t>
            </w:r>
          </w:p>
          <w:p w:rsidR="00B7706C" w:rsidRPr="00D75A65" w:rsidRDefault="00B7706C" w:rsidP="007942ED">
            <w:pPr>
              <w:spacing w:line="360" w:lineRule="auto"/>
            </w:pPr>
            <w:r w:rsidRPr="00D75A65">
              <w:t>T25 Flasks</w:t>
            </w:r>
          </w:p>
          <w:p w:rsidR="00B7706C" w:rsidRPr="00D75A65" w:rsidRDefault="00B7706C" w:rsidP="007942ED">
            <w:pPr>
              <w:spacing w:line="360" w:lineRule="auto"/>
            </w:pPr>
            <w:r w:rsidRPr="00D75A65">
              <w:t>Disposable Waste Container</w:t>
            </w:r>
          </w:p>
          <w:p w:rsidR="00B7706C" w:rsidRPr="00D75A65" w:rsidRDefault="00B7706C" w:rsidP="007942ED">
            <w:pPr>
              <w:spacing w:line="360" w:lineRule="auto"/>
            </w:pPr>
            <w:r w:rsidRPr="00D75A65">
              <w:t>Plastic Gloves</w:t>
            </w:r>
          </w:p>
          <w:p w:rsidR="00B7706C" w:rsidRPr="00D75A65" w:rsidRDefault="00B7706C" w:rsidP="007942ED">
            <w:pPr>
              <w:spacing w:line="360" w:lineRule="auto"/>
            </w:pPr>
            <w:r w:rsidRPr="00D75A65">
              <w:t>Lysol Disinfectant</w:t>
            </w:r>
          </w:p>
          <w:p w:rsidR="00B7706C" w:rsidRDefault="00B7706C" w:rsidP="007942ED">
            <w:pPr>
              <w:spacing w:line="360" w:lineRule="auto"/>
            </w:pPr>
            <w:r w:rsidRPr="00D75A65">
              <w:t>70% Ethanol Spray Bottle</w:t>
            </w:r>
          </w:p>
          <w:p w:rsidR="00B7706C" w:rsidRDefault="00B7706C" w:rsidP="007942ED">
            <w:pPr>
              <w:spacing w:line="360" w:lineRule="auto"/>
            </w:pPr>
            <w:r>
              <w:t>All of these materials are needed for proper, sanitary cell sub- culturing technique.</w:t>
            </w:r>
          </w:p>
        </w:tc>
      </w:tr>
      <w:tr w:rsidR="00B7706C" w:rsidTr="00AD4E15">
        <w:tc>
          <w:tcPr>
            <w:tcW w:w="2988" w:type="dxa"/>
          </w:tcPr>
          <w:p w:rsidR="00B7706C" w:rsidRDefault="00B7706C" w:rsidP="007942ED">
            <w:pPr>
              <w:spacing w:line="360" w:lineRule="auto"/>
            </w:pPr>
            <w:r>
              <w:t>Electric pipette aid</w:t>
            </w:r>
          </w:p>
        </w:tc>
        <w:tc>
          <w:tcPr>
            <w:tcW w:w="6588" w:type="dxa"/>
          </w:tcPr>
          <w:p w:rsidR="00B7706C" w:rsidRDefault="00B7706C" w:rsidP="007942ED">
            <w:pPr>
              <w:spacing w:line="360" w:lineRule="auto"/>
            </w:pPr>
            <w:r>
              <w:t>Pipette is need for easy extraction of virus and nutrients from one flask to the next.</w:t>
            </w:r>
          </w:p>
        </w:tc>
      </w:tr>
      <w:tr w:rsidR="00B7706C" w:rsidTr="00AD4E15">
        <w:tc>
          <w:tcPr>
            <w:tcW w:w="2988" w:type="dxa"/>
          </w:tcPr>
          <w:p w:rsidR="00B7706C" w:rsidRDefault="00B7706C" w:rsidP="007942ED">
            <w:pPr>
              <w:spacing w:line="360" w:lineRule="auto"/>
            </w:pPr>
            <w:r>
              <w:t>Fluorescent microscope</w:t>
            </w:r>
          </w:p>
        </w:tc>
        <w:tc>
          <w:tcPr>
            <w:tcW w:w="6588" w:type="dxa"/>
          </w:tcPr>
          <w:p w:rsidR="00B7706C" w:rsidRDefault="00B7706C" w:rsidP="007942ED">
            <w:pPr>
              <w:spacing w:line="360" w:lineRule="auto"/>
              <w:contextualSpacing/>
            </w:pPr>
            <w:r w:rsidRPr="00155D07">
              <w:t>Viewing one’s culture is essential for</w:t>
            </w:r>
            <w:r>
              <w:t xml:space="preserve"> </w:t>
            </w:r>
            <w:r w:rsidRPr="00155D07">
              <w:t>knowledge and evaluation of the</w:t>
            </w:r>
            <w:r>
              <w:t xml:space="preserve"> </w:t>
            </w:r>
            <w:r w:rsidRPr="00155D07">
              <w:t>experiment performed.</w:t>
            </w:r>
          </w:p>
        </w:tc>
      </w:tr>
      <w:tr w:rsidR="00B7706C" w:rsidTr="00AD4E15">
        <w:tc>
          <w:tcPr>
            <w:tcW w:w="2988" w:type="dxa"/>
          </w:tcPr>
          <w:p w:rsidR="00B7706C" w:rsidRDefault="00B7706C" w:rsidP="007942ED">
            <w:pPr>
              <w:spacing w:line="360" w:lineRule="auto"/>
            </w:pPr>
            <w:r>
              <w:t>Centrifuge</w:t>
            </w:r>
          </w:p>
        </w:tc>
        <w:tc>
          <w:tcPr>
            <w:tcW w:w="6588" w:type="dxa"/>
          </w:tcPr>
          <w:p w:rsidR="00B7706C" w:rsidRDefault="00B7706C" w:rsidP="007942ED">
            <w:pPr>
              <w:spacing w:line="360" w:lineRule="auto"/>
            </w:pPr>
            <w:r>
              <w:t>Centrifuge is need for the collection of the virus or cells without the media containing the waste.</w:t>
            </w:r>
          </w:p>
        </w:tc>
      </w:tr>
      <w:tr w:rsidR="00B7706C" w:rsidTr="00AD4E15">
        <w:tc>
          <w:tcPr>
            <w:tcW w:w="2988" w:type="dxa"/>
          </w:tcPr>
          <w:p w:rsidR="00B7706C" w:rsidRDefault="00B7706C" w:rsidP="007942ED">
            <w:pPr>
              <w:spacing w:line="360" w:lineRule="auto"/>
            </w:pPr>
            <w:r>
              <w:t>Incubator</w:t>
            </w:r>
          </w:p>
        </w:tc>
        <w:tc>
          <w:tcPr>
            <w:tcW w:w="6588" w:type="dxa"/>
          </w:tcPr>
          <w:p w:rsidR="00B7706C" w:rsidRPr="00155D07" w:rsidRDefault="00B7706C" w:rsidP="007942ED">
            <w:pPr>
              <w:spacing w:line="360" w:lineRule="auto"/>
              <w:contextualSpacing/>
            </w:pPr>
            <w:r w:rsidRPr="00155D07">
              <w:t xml:space="preserve">Cells are grown and maintained in an incubator at an optimal </w:t>
            </w:r>
            <w:r>
              <w:t xml:space="preserve">temperature of 37°C and a pH of </w:t>
            </w:r>
            <w:r w:rsidRPr="00155D07">
              <w:t>7.4.</w:t>
            </w:r>
          </w:p>
          <w:p w:rsidR="00B7706C" w:rsidRPr="00155D07" w:rsidRDefault="00B7706C" w:rsidP="007942ED">
            <w:pPr>
              <w:spacing w:line="360" w:lineRule="auto"/>
              <w:contextualSpacing/>
            </w:pPr>
            <w:r w:rsidRPr="00155D07">
              <w:t xml:space="preserve">The temperature inside the incubator is usually </w:t>
            </w:r>
          </w:p>
          <w:p w:rsidR="00B7706C" w:rsidRPr="008D3125" w:rsidRDefault="00B7706C" w:rsidP="007942ED">
            <w:pPr>
              <w:spacing w:line="360" w:lineRule="auto"/>
              <w:contextualSpacing/>
            </w:pPr>
            <w:proofErr w:type="gramStart"/>
            <w:r w:rsidRPr="00155D07">
              <w:t>controlled</w:t>
            </w:r>
            <w:proofErr w:type="gramEnd"/>
            <w:r w:rsidRPr="00155D07">
              <w:t xml:space="preserve"> by water and the pH is controlled by a CO2 buffering system which controls the amount</w:t>
            </w:r>
            <w:r>
              <w:t xml:space="preserve"> </w:t>
            </w:r>
            <w:r w:rsidRPr="00155D07">
              <w:t>gas available.</w:t>
            </w:r>
          </w:p>
        </w:tc>
      </w:tr>
      <w:tr w:rsidR="00B7706C" w:rsidTr="00AD4E15">
        <w:tc>
          <w:tcPr>
            <w:tcW w:w="2988" w:type="dxa"/>
          </w:tcPr>
          <w:p w:rsidR="00B7706C" w:rsidRDefault="00B7706C" w:rsidP="007942ED">
            <w:pPr>
              <w:spacing w:line="360" w:lineRule="auto"/>
            </w:pPr>
            <w:proofErr w:type="spellStart"/>
            <w:r>
              <w:t>Biohood</w:t>
            </w:r>
            <w:proofErr w:type="spellEnd"/>
          </w:p>
        </w:tc>
        <w:tc>
          <w:tcPr>
            <w:tcW w:w="6588" w:type="dxa"/>
          </w:tcPr>
          <w:p w:rsidR="00B7706C" w:rsidRDefault="00B7706C" w:rsidP="007942ED">
            <w:pPr>
              <w:spacing w:line="360" w:lineRule="auto"/>
            </w:pPr>
            <w:r w:rsidRPr="00155D07">
              <w:t>All laboratory experiments requiring</w:t>
            </w:r>
            <w:r>
              <w:t xml:space="preserve"> </w:t>
            </w:r>
            <w:r w:rsidRPr="00155D07">
              <w:t>the use of media preparation need to be conducted in the bio hood. The hood</w:t>
            </w:r>
            <w:r>
              <w:t xml:space="preserve"> </w:t>
            </w:r>
            <w:r w:rsidRPr="00155D07">
              <w:t xml:space="preserve">contains </w:t>
            </w:r>
            <w:proofErr w:type="gramStart"/>
            <w:r w:rsidRPr="00155D07">
              <w:t>a</w:t>
            </w:r>
            <w:proofErr w:type="gramEnd"/>
            <w:r w:rsidRPr="00155D07">
              <w:t xml:space="preserve"> air flow system and a ultraviolet</w:t>
            </w:r>
            <w:r>
              <w:t xml:space="preserve"> </w:t>
            </w:r>
            <w:r w:rsidRPr="00155D07">
              <w:t>light that prevents contamination.</w:t>
            </w:r>
          </w:p>
        </w:tc>
      </w:tr>
      <w:tr w:rsidR="00B7706C" w:rsidTr="00AD4E15">
        <w:tc>
          <w:tcPr>
            <w:tcW w:w="2988" w:type="dxa"/>
          </w:tcPr>
          <w:p w:rsidR="00B7706C" w:rsidRDefault="00B7706C" w:rsidP="007942ED">
            <w:pPr>
              <w:spacing w:line="360" w:lineRule="auto"/>
            </w:pPr>
            <w:r>
              <w:t>PCR</w:t>
            </w:r>
          </w:p>
        </w:tc>
        <w:tc>
          <w:tcPr>
            <w:tcW w:w="6588" w:type="dxa"/>
          </w:tcPr>
          <w:p w:rsidR="00B7706C" w:rsidRDefault="00B7706C" w:rsidP="007942ED">
            <w:pPr>
              <w:spacing w:line="360" w:lineRule="auto"/>
            </w:pPr>
            <w:r>
              <w:t>PCR machine is necessary for DNA analysis.</w:t>
            </w:r>
          </w:p>
        </w:tc>
      </w:tr>
    </w:tbl>
    <w:p w:rsidR="00AD4E15" w:rsidRDefault="00AD4E15" w:rsidP="00AD4E15">
      <w:pPr>
        <w:shd w:val="clear" w:color="auto" w:fill="FFFFFF"/>
        <w:spacing w:line="240" w:lineRule="auto"/>
        <w:contextualSpacing/>
      </w:pPr>
    </w:p>
    <w:p w:rsidR="00AD4E15" w:rsidRDefault="00AD4E15" w:rsidP="00AD4E15">
      <w:pPr>
        <w:shd w:val="clear" w:color="auto" w:fill="FFFFFF"/>
        <w:spacing w:line="240" w:lineRule="auto"/>
        <w:contextualSpacing/>
      </w:pPr>
    </w:p>
    <w:p w:rsidR="00AD4E15" w:rsidRDefault="00AD4E15" w:rsidP="00AD4E15">
      <w:pPr>
        <w:shd w:val="clear" w:color="auto" w:fill="FFFFFF"/>
        <w:spacing w:line="240" w:lineRule="auto"/>
        <w:contextualSpacing/>
      </w:pPr>
    </w:p>
    <w:p w:rsidR="00B7706C" w:rsidRPr="00B7706C" w:rsidRDefault="00B7706C" w:rsidP="00AD4E15">
      <w:pPr>
        <w:shd w:val="clear" w:color="auto" w:fill="FFFFFF"/>
        <w:spacing w:line="240" w:lineRule="auto"/>
        <w:contextualSpacing/>
        <w:rPr>
          <w:b/>
          <w:i/>
        </w:rPr>
      </w:pPr>
      <w:r w:rsidRPr="00B7706C">
        <w:rPr>
          <w:b/>
          <w:i/>
        </w:rPr>
        <w:lastRenderedPageBreak/>
        <w:t>Literature Cited:</w:t>
      </w:r>
    </w:p>
    <w:p w:rsidR="00B7706C" w:rsidRDefault="00B7706C" w:rsidP="00B7706C">
      <w:pPr>
        <w:shd w:val="clear" w:color="auto" w:fill="FFFFFF"/>
        <w:spacing w:line="240" w:lineRule="auto"/>
        <w:ind w:left="720" w:hanging="720"/>
        <w:contextualSpacing/>
      </w:pPr>
    </w:p>
    <w:p w:rsidR="00B7706C" w:rsidRDefault="00B7706C" w:rsidP="00B7706C">
      <w:pPr>
        <w:shd w:val="clear" w:color="auto" w:fill="FFFFFF"/>
        <w:spacing w:line="240" w:lineRule="auto"/>
        <w:ind w:left="720" w:hanging="720"/>
        <w:contextualSpacing/>
      </w:pPr>
      <w:r>
        <w:t xml:space="preserve">Brown, M. G., Y. Y. Huang, J. S. Marshall, C. A. King, D. W. </w:t>
      </w:r>
      <w:proofErr w:type="spellStart"/>
      <w:r>
        <w:t>Hoskin</w:t>
      </w:r>
      <w:proofErr w:type="spellEnd"/>
      <w:r>
        <w:t xml:space="preserve">, and R. Anderson. </w:t>
      </w:r>
      <w:proofErr w:type="gramStart"/>
      <w:r>
        <w:t xml:space="preserve">"Dramatic </w:t>
      </w:r>
      <w:proofErr w:type="spellStart"/>
      <w:r>
        <w:t>Caspase</w:t>
      </w:r>
      <w:proofErr w:type="spellEnd"/>
      <w:r>
        <w:t>-dependent Apoptosis in Antibody-enhanced Dengue Virus Infection of Human Mast Cells."</w:t>
      </w:r>
      <w:proofErr w:type="gramEnd"/>
      <w:r>
        <w:t xml:space="preserve"> </w:t>
      </w:r>
      <w:r>
        <w:rPr>
          <w:i/>
          <w:iCs/>
        </w:rPr>
        <w:t>Journal of Leukocyte Biology</w:t>
      </w:r>
      <w:r>
        <w:t xml:space="preserve"> 85.1 (2008): 71-80. </w:t>
      </w:r>
    </w:p>
    <w:p w:rsidR="00B7706C" w:rsidRDefault="00B7706C" w:rsidP="00B7706C">
      <w:pPr>
        <w:shd w:val="clear" w:color="auto" w:fill="FFFFFF"/>
        <w:spacing w:line="240" w:lineRule="auto"/>
        <w:ind w:left="720"/>
        <w:contextualSpacing/>
      </w:pPr>
    </w:p>
    <w:p w:rsidR="00B7706C" w:rsidRDefault="00B7706C" w:rsidP="00B7706C">
      <w:pPr>
        <w:shd w:val="clear" w:color="auto" w:fill="FFFFFF"/>
        <w:spacing w:line="240" w:lineRule="auto"/>
        <w:ind w:left="720" w:hanging="720"/>
        <w:contextualSpacing/>
      </w:pPr>
      <w:proofErr w:type="spellStart"/>
      <w:proofErr w:type="gramStart"/>
      <w:r>
        <w:rPr>
          <w:color w:val="000000"/>
        </w:rPr>
        <w:t>Cardier</w:t>
      </w:r>
      <w:proofErr w:type="spellEnd"/>
      <w:r>
        <w:rPr>
          <w:color w:val="000000"/>
        </w:rPr>
        <w:t xml:space="preserve">, José E., </w:t>
      </w:r>
      <w:proofErr w:type="spellStart"/>
      <w:r>
        <w:rPr>
          <w:color w:val="000000"/>
        </w:rPr>
        <w:t>Eliana</w:t>
      </w:r>
      <w:proofErr w:type="spellEnd"/>
      <w:r>
        <w:rPr>
          <w:color w:val="000000"/>
        </w:rPr>
        <w:t xml:space="preserve"> </w:t>
      </w:r>
      <w:proofErr w:type="spellStart"/>
      <w:r>
        <w:rPr>
          <w:color w:val="000000"/>
        </w:rPr>
        <w:t>Mariño</w:t>
      </w:r>
      <w:proofErr w:type="spellEnd"/>
      <w:r>
        <w:rPr>
          <w:color w:val="000000"/>
        </w:rPr>
        <w:t xml:space="preserve">, </w:t>
      </w:r>
      <w:proofErr w:type="spellStart"/>
      <w:r>
        <w:rPr>
          <w:color w:val="000000"/>
        </w:rPr>
        <w:t>Egidio</w:t>
      </w:r>
      <w:proofErr w:type="spellEnd"/>
      <w:r>
        <w:rPr>
          <w:color w:val="000000"/>
        </w:rPr>
        <w:t xml:space="preserve"> Romano, Peter Taylor, </w:t>
      </w:r>
      <w:proofErr w:type="spellStart"/>
      <w:r>
        <w:rPr>
          <w:color w:val="000000"/>
        </w:rPr>
        <w:t>Ferdinando</w:t>
      </w:r>
      <w:proofErr w:type="spellEnd"/>
      <w:r>
        <w:rPr>
          <w:color w:val="000000"/>
        </w:rPr>
        <w:t xml:space="preserve"> </w:t>
      </w:r>
      <w:proofErr w:type="spellStart"/>
      <w:r>
        <w:rPr>
          <w:color w:val="000000"/>
        </w:rPr>
        <w:t>Liprandi</w:t>
      </w:r>
      <w:proofErr w:type="spellEnd"/>
      <w:r>
        <w:rPr>
          <w:color w:val="000000"/>
        </w:rPr>
        <w:t>, Norma Bosch, and Alan L. Rothman.</w:t>
      </w:r>
      <w:proofErr w:type="gramEnd"/>
      <w:r>
        <w:rPr>
          <w:color w:val="000000"/>
        </w:rPr>
        <w:t xml:space="preserve"> "</w:t>
      </w:r>
      <w:proofErr w:type="spellStart"/>
      <w:r>
        <w:rPr>
          <w:color w:val="000000"/>
        </w:rPr>
        <w:t>Proinflammatory</w:t>
      </w:r>
      <w:proofErr w:type="spellEnd"/>
      <w:r>
        <w:rPr>
          <w:color w:val="000000"/>
        </w:rPr>
        <w:t xml:space="preserve"> Factors Present in Sera from Patients with Acute Dengue Infection Induce Activation and Apoptosis of Human </w:t>
      </w:r>
      <w:proofErr w:type="spellStart"/>
      <w:r>
        <w:rPr>
          <w:color w:val="000000"/>
        </w:rPr>
        <w:t>Microvascular</w:t>
      </w:r>
      <w:proofErr w:type="spellEnd"/>
      <w:r>
        <w:rPr>
          <w:color w:val="000000"/>
        </w:rPr>
        <w:t xml:space="preserve"> Endothelial Cells: Possible Role of TNF-α in Endothelial Cell Damage in Dengue." </w:t>
      </w:r>
      <w:r>
        <w:rPr>
          <w:i/>
          <w:iCs/>
          <w:color w:val="000000"/>
        </w:rPr>
        <w:t>Cytokine</w:t>
      </w:r>
      <w:r>
        <w:rPr>
          <w:color w:val="000000"/>
        </w:rPr>
        <w:t xml:space="preserve"> 30.6 (2005): 359-65.</w:t>
      </w:r>
    </w:p>
    <w:p w:rsidR="00B7706C" w:rsidRDefault="00B7706C" w:rsidP="00B7706C">
      <w:pPr>
        <w:shd w:val="clear" w:color="auto" w:fill="FFFFFF"/>
        <w:spacing w:line="240" w:lineRule="auto"/>
        <w:ind w:left="720"/>
        <w:contextualSpacing/>
      </w:pPr>
    </w:p>
    <w:p w:rsidR="00B7706C" w:rsidRPr="00A043F1" w:rsidRDefault="00B7706C" w:rsidP="00B7706C">
      <w:pPr>
        <w:shd w:val="clear" w:color="auto" w:fill="FFFFFF"/>
        <w:spacing w:line="240" w:lineRule="auto"/>
        <w:ind w:left="720" w:hanging="720"/>
        <w:contextualSpacing/>
        <w:rPr>
          <w:rFonts w:cs="FreeSans"/>
          <w:color w:val="000000"/>
        </w:rPr>
      </w:pPr>
      <w:proofErr w:type="gramStart"/>
      <w:r>
        <w:rPr>
          <w:color w:val="000000"/>
        </w:rPr>
        <w:t xml:space="preserve">Chen, H.-C., F. M. </w:t>
      </w:r>
      <w:proofErr w:type="spellStart"/>
      <w:r>
        <w:rPr>
          <w:color w:val="000000"/>
        </w:rPr>
        <w:t>Hofman</w:t>
      </w:r>
      <w:proofErr w:type="spellEnd"/>
      <w:r>
        <w:rPr>
          <w:color w:val="000000"/>
        </w:rPr>
        <w:t>, J. T. Kung, Y.-D.</w:t>
      </w:r>
      <w:proofErr w:type="gramEnd"/>
      <w:r>
        <w:rPr>
          <w:color w:val="000000"/>
        </w:rPr>
        <w:t xml:space="preserve"> </w:t>
      </w:r>
      <w:proofErr w:type="gramStart"/>
      <w:r>
        <w:rPr>
          <w:color w:val="000000"/>
        </w:rPr>
        <w:t>Lin,</w:t>
      </w:r>
      <w:proofErr w:type="gramEnd"/>
      <w:r>
        <w:rPr>
          <w:color w:val="000000"/>
        </w:rPr>
        <w:t xml:space="preserve"> and B. A. Wu-Hsieh. "Both Virus and Tumor Necrosis Factor Alpha Are Critical for Endothelium Damage in a Mouse Model of Dengue Virus-Induced Hemorrhage." </w:t>
      </w:r>
      <w:r>
        <w:rPr>
          <w:i/>
          <w:iCs/>
          <w:color w:val="000000"/>
        </w:rPr>
        <w:t>Journal of Virology</w:t>
      </w:r>
      <w:r>
        <w:rPr>
          <w:color w:val="000000"/>
        </w:rPr>
        <w:t xml:space="preserve"> 81.11 (2007): 5518-526.</w:t>
      </w:r>
    </w:p>
    <w:p w:rsidR="00B7706C" w:rsidRDefault="00B7706C" w:rsidP="00B7706C">
      <w:pPr>
        <w:shd w:val="clear" w:color="auto" w:fill="FFFFFF"/>
        <w:spacing w:line="240" w:lineRule="auto"/>
        <w:ind w:left="720"/>
        <w:contextualSpacing/>
      </w:pPr>
    </w:p>
    <w:p w:rsidR="00B7706C" w:rsidRDefault="00B7706C" w:rsidP="00B7706C">
      <w:pPr>
        <w:shd w:val="clear" w:color="auto" w:fill="FFFFFF"/>
        <w:spacing w:line="240" w:lineRule="auto"/>
        <w:ind w:left="720" w:hanging="720"/>
        <w:contextualSpacing/>
      </w:pPr>
      <w:proofErr w:type="spellStart"/>
      <w:proofErr w:type="gramStart"/>
      <w:r>
        <w:t>Despres</w:t>
      </w:r>
      <w:proofErr w:type="spellEnd"/>
      <w:r>
        <w:t xml:space="preserve">, </w:t>
      </w:r>
      <w:proofErr w:type="spellStart"/>
      <w:r>
        <w:t>Phillipe</w:t>
      </w:r>
      <w:proofErr w:type="spellEnd"/>
      <w:r>
        <w:t xml:space="preserve">, Marie </w:t>
      </w:r>
      <w:proofErr w:type="spellStart"/>
      <w:r>
        <w:t>Flamand</w:t>
      </w:r>
      <w:proofErr w:type="spellEnd"/>
      <w:r>
        <w:t xml:space="preserve">, Pierre </w:t>
      </w:r>
      <w:proofErr w:type="spellStart"/>
      <w:r>
        <w:t>Ceccaldi</w:t>
      </w:r>
      <w:proofErr w:type="spellEnd"/>
      <w:r>
        <w:t xml:space="preserve">, and Vincent </w:t>
      </w:r>
      <w:proofErr w:type="spellStart"/>
      <w:r>
        <w:t>Deubel</w:t>
      </w:r>
      <w:proofErr w:type="spellEnd"/>
      <w:r>
        <w:t>.</w:t>
      </w:r>
      <w:proofErr w:type="gramEnd"/>
      <w:r>
        <w:t xml:space="preserve"> "Human Isolates of Dengue Type 1 Virus Induce Apoptosis in Mouse </w:t>
      </w:r>
      <w:proofErr w:type="spellStart"/>
      <w:r>
        <w:t>Neuroblastoma</w:t>
      </w:r>
      <w:proofErr w:type="spellEnd"/>
      <w:r>
        <w:t xml:space="preserve"> Cells." </w:t>
      </w:r>
      <w:r>
        <w:rPr>
          <w:i/>
          <w:iCs/>
        </w:rPr>
        <w:t xml:space="preserve">Journal </w:t>
      </w:r>
      <w:proofErr w:type="gramStart"/>
      <w:r>
        <w:rPr>
          <w:i/>
          <w:iCs/>
        </w:rPr>
        <w:t>Of</w:t>
      </w:r>
      <w:proofErr w:type="gramEnd"/>
      <w:r>
        <w:rPr>
          <w:i/>
          <w:iCs/>
        </w:rPr>
        <w:t xml:space="preserve"> Virology</w:t>
      </w:r>
      <w:r>
        <w:t xml:space="preserve"> 70.6 (1996): 4090-096</w:t>
      </w:r>
      <w:r>
        <w:rPr>
          <w:rFonts w:eastAsia="Times New Roman"/>
        </w:rPr>
        <w:t>.</w:t>
      </w:r>
    </w:p>
    <w:p w:rsidR="00B7706C" w:rsidRDefault="00B7706C" w:rsidP="00B7706C">
      <w:pPr>
        <w:shd w:val="clear" w:color="auto" w:fill="FFFFFF"/>
        <w:spacing w:line="240" w:lineRule="auto"/>
        <w:ind w:left="720" w:hanging="720"/>
        <w:contextualSpacing/>
      </w:pPr>
    </w:p>
    <w:p w:rsidR="00B7706C" w:rsidRDefault="00B7706C" w:rsidP="00B7706C">
      <w:pPr>
        <w:shd w:val="clear" w:color="auto" w:fill="FFFFFF"/>
        <w:spacing w:line="240" w:lineRule="auto"/>
        <w:ind w:left="720" w:hanging="720"/>
        <w:contextualSpacing/>
      </w:pPr>
      <w:proofErr w:type="spellStart"/>
      <w:proofErr w:type="gramStart"/>
      <w:r>
        <w:rPr>
          <w:rFonts w:eastAsia="Times New Roman"/>
        </w:rPr>
        <w:t>Esolen</w:t>
      </w:r>
      <w:proofErr w:type="spellEnd"/>
      <w:r>
        <w:rPr>
          <w:rFonts w:eastAsia="Times New Roman"/>
        </w:rPr>
        <w:t xml:space="preserve">, Lisa M., </w:t>
      </w:r>
      <w:proofErr w:type="spellStart"/>
      <w:r>
        <w:rPr>
          <w:rFonts w:eastAsia="Times New Roman"/>
        </w:rPr>
        <w:t>Suk</w:t>
      </w:r>
      <w:proofErr w:type="spellEnd"/>
      <w:r>
        <w:rPr>
          <w:rFonts w:eastAsia="Times New Roman"/>
        </w:rPr>
        <w:t xml:space="preserve"> W. Park, J. M. Hardwick, and Diane E. Griffin.</w:t>
      </w:r>
      <w:proofErr w:type="gramEnd"/>
      <w:r>
        <w:rPr>
          <w:rFonts w:eastAsia="Times New Roman"/>
        </w:rPr>
        <w:t xml:space="preserve"> "Apoptosis Is a Cause of Death in Measles Virus-Infected Cells." </w:t>
      </w:r>
      <w:r>
        <w:rPr>
          <w:rFonts w:eastAsia="Times New Roman"/>
          <w:i/>
          <w:iCs/>
        </w:rPr>
        <w:t>Journal of Virology</w:t>
      </w:r>
      <w:r>
        <w:rPr>
          <w:rFonts w:eastAsia="Times New Roman"/>
        </w:rPr>
        <w:t xml:space="preserve"> 69.6 (1995): 3955-958. </w:t>
      </w:r>
    </w:p>
    <w:p w:rsidR="00B7706C" w:rsidRDefault="00B7706C" w:rsidP="00B7706C">
      <w:pPr>
        <w:shd w:val="clear" w:color="auto" w:fill="FFFFFF"/>
        <w:spacing w:line="240" w:lineRule="auto"/>
        <w:ind w:left="720" w:hanging="720"/>
        <w:contextualSpacing/>
      </w:pPr>
      <w:r>
        <w:rPr>
          <w:rFonts w:eastAsia="Times New Roman"/>
        </w:rPr>
        <w:t xml:space="preserve">            </w:t>
      </w:r>
    </w:p>
    <w:p w:rsidR="00B7706C" w:rsidRDefault="00B7706C" w:rsidP="00B7706C">
      <w:pPr>
        <w:shd w:val="clear" w:color="auto" w:fill="FFFFFF"/>
        <w:spacing w:line="240" w:lineRule="auto"/>
        <w:ind w:left="720" w:hanging="720"/>
        <w:contextualSpacing/>
      </w:pPr>
      <w:proofErr w:type="spellStart"/>
      <w:proofErr w:type="gramStart"/>
      <w:r>
        <w:t>Limonta</w:t>
      </w:r>
      <w:proofErr w:type="spellEnd"/>
      <w:r>
        <w:t>, D., V. Capo, G. Torres, A. Perez, and M. Guzman.</w:t>
      </w:r>
      <w:proofErr w:type="gramEnd"/>
      <w:r>
        <w:t xml:space="preserve"> </w:t>
      </w:r>
      <w:proofErr w:type="gramStart"/>
      <w:r>
        <w:t>"Apoptosis in Tissues from Fatal Dengue Shock Syndrome."</w:t>
      </w:r>
      <w:proofErr w:type="gramEnd"/>
      <w:r>
        <w:t xml:space="preserve"> </w:t>
      </w:r>
      <w:r>
        <w:rPr>
          <w:i/>
          <w:iCs/>
        </w:rPr>
        <w:t>Journal of Clinical Virology</w:t>
      </w:r>
      <w:r>
        <w:t xml:space="preserve"> 40.1 (2007): 50-54. </w:t>
      </w:r>
    </w:p>
    <w:p w:rsidR="00B7706C" w:rsidRDefault="00B7706C" w:rsidP="00B7706C">
      <w:pPr>
        <w:shd w:val="clear" w:color="auto" w:fill="FFFFFF"/>
        <w:spacing w:line="240" w:lineRule="auto"/>
        <w:ind w:left="720" w:hanging="720"/>
        <w:contextualSpacing/>
      </w:pPr>
    </w:p>
    <w:p w:rsidR="00B7706C" w:rsidRDefault="00B7706C" w:rsidP="00B7706C">
      <w:pPr>
        <w:shd w:val="clear" w:color="auto" w:fill="FFFFFF"/>
        <w:spacing w:line="240" w:lineRule="auto"/>
        <w:ind w:left="720" w:hanging="720"/>
        <w:contextualSpacing/>
      </w:pPr>
      <w:proofErr w:type="spellStart"/>
      <w:r>
        <w:t>Limonta</w:t>
      </w:r>
      <w:proofErr w:type="spellEnd"/>
      <w:r>
        <w:t xml:space="preserve">, Daniel. </w:t>
      </w:r>
      <w:bookmarkStart w:id="0" w:name="__DdeLink__122_1289724449"/>
      <w:proofErr w:type="gramStart"/>
      <w:r>
        <w:t xml:space="preserve">"New Evidence of the Contribution of Apoptosis to Dengue Hemorrhagic Fever </w:t>
      </w:r>
      <w:proofErr w:type="spellStart"/>
      <w:r>
        <w:t>Pathophysiolog</w:t>
      </w:r>
      <w:bookmarkEnd w:id="0"/>
      <w:r>
        <w:t>y</w:t>
      </w:r>
      <w:proofErr w:type="spellEnd"/>
      <w:r>
        <w:t>."</w:t>
      </w:r>
      <w:proofErr w:type="gramEnd"/>
      <w:r>
        <w:t xml:space="preserve"> </w:t>
      </w:r>
      <w:proofErr w:type="spellStart"/>
      <w:r>
        <w:t>Biotecnología</w:t>
      </w:r>
      <w:proofErr w:type="spellEnd"/>
      <w:r>
        <w:t xml:space="preserve"> </w:t>
      </w:r>
      <w:proofErr w:type="spellStart"/>
      <w:r>
        <w:t>Aplicada</w:t>
      </w:r>
      <w:proofErr w:type="spellEnd"/>
      <w:r>
        <w:t xml:space="preserve"> 27.1 (2010): 62-65.</w:t>
      </w:r>
    </w:p>
    <w:p w:rsidR="00B7706C" w:rsidRDefault="00B7706C" w:rsidP="00B7706C">
      <w:pPr>
        <w:shd w:val="clear" w:color="auto" w:fill="FFFFFF"/>
        <w:spacing w:line="240" w:lineRule="auto"/>
        <w:ind w:left="720" w:hanging="720"/>
        <w:contextualSpacing/>
      </w:pPr>
    </w:p>
    <w:p w:rsidR="00B7706C" w:rsidRDefault="00B7706C" w:rsidP="00B7706C">
      <w:pPr>
        <w:shd w:val="clear" w:color="auto" w:fill="FFFFFF"/>
        <w:spacing w:line="240" w:lineRule="auto"/>
        <w:ind w:left="720" w:hanging="720"/>
        <w:contextualSpacing/>
      </w:pPr>
      <w:proofErr w:type="gramStart"/>
      <w:r>
        <w:t xml:space="preserve">Lin, </w:t>
      </w:r>
      <w:proofErr w:type="spellStart"/>
      <w:r>
        <w:t>Chiou-Feng</w:t>
      </w:r>
      <w:proofErr w:type="spellEnd"/>
      <w:r>
        <w:t>.</w:t>
      </w:r>
      <w:proofErr w:type="gramEnd"/>
      <w:r>
        <w:t xml:space="preserve"> "Endothelial Cell Apoptosis Induced by Antibodies </w:t>
      </w:r>
      <w:proofErr w:type="gramStart"/>
      <w:r>
        <w:t>Against</w:t>
      </w:r>
      <w:proofErr w:type="gramEnd"/>
      <w:r>
        <w:t xml:space="preserve"> Dengue Virus Nonstructural Protein 1 Via Production of Nitric Oxide." </w:t>
      </w:r>
      <w:r>
        <w:rPr>
          <w:i/>
          <w:iCs/>
        </w:rPr>
        <w:t>The Journal of Immunology</w:t>
      </w:r>
      <w:r>
        <w:t xml:space="preserve"> 169 (2002): 657-64.</w:t>
      </w:r>
    </w:p>
    <w:p w:rsidR="00B7706C" w:rsidRDefault="00B7706C" w:rsidP="00B7706C">
      <w:pPr>
        <w:shd w:val="clear" w:color="auto" w:fill="FFFFFF"/>
        <w:spacing w:line="240" w:lineRule="auto"/>
        <w:ind w:left="720"/>
        <w:contextualSpacing/>
      </w:pPr>
    </w:p>
    <w:p w:rsidR="00B7706C" w:rsidRDefault="00B7706C" w:rsidP="00B7706C">
      <w:pPr>
        <w:shd w:val="clear" w:color="auto" w:fill="FFFFFF"/>
        <w:spacing w:line="240" w:lineRule="auto"/>
        <w:ind w:left="720" w:hanging="720"/>
        <w:contextualSpacing/>
      </w:pPr>
      <w:proofErr w:type="gramStart"/>
      <w:r>
        <w:t xml:space="preserve">Martina, B. E. E., P. </w:t>
      </w:r>
      <w:proofErr w:type="spellStart"/>
      <w:r>
        <w:t>Koraka</w:t>
      </w:r>
      <w:proofErr w:type="spellEnd"/>
      <w:r>
        <w:t xml:space="preserve">, and A. D. M. E. </w:t>
      </w:r>
      <w:proofErr w:type="spellStart"/>
      <w:r>
        <w:t>Osterhaus</w:t>
      </w:r>
      <w:proofErr w:type="spellEnd"/>
      <w:r>
        <w:t>.</w:t>
      </w:r>
      <w:proofErr w:type="gramEnd"/>
      <w:r>
        <w:t xml:space="preserve"> "Dengue Virus Pathogenesis: an Integrated View." </w:t>
      </w:r>
      <w:r>
        <w:rPr>
          <w:i/>
          <w:iCs/>
        </w:rPr>
        <w:t>Clinical Microbiology Reviews</w:t>
      </w:r>
      <w:r>
        <w:t xml:space="preserve"> 22.4 (2009): 564-81. </w:t>
      </w:r>
    </w:p>
    <w:p w:rsidR="00B7706C" w:rsidRDefault="00B7706C" w:rsidP="00B7706C">
      <w:pPr>
        <w:shd w:val="clear" w:color="auto" w:fill="FFFFFF"/>
        <w:spacing w:line="240" w:lineRule="auto"/>
        <w:ind w:left="720" w:hanging="720"/>
        <w:contextualSpacing/>
      </w:pPr>
    </w:p>
    <w:p w:rsidR="00B7706C" w:rsidRDefault="00B7706C" w:rsidP="00B7706C">
      <w:pPr>
        <w:shd w:val="clear" w:color="auto" w:fill="FFFFFF"/>
        <w:spacing w:line="240" w:lineRule="auto"/>
        <w:ind w:left="720" w:hanging="720"/>
        <w:contextualSpacing/>
      </w:pPr>
      <w:proofErr w:type="gramStart"/>
      <w:r>
        <w:t xml:space="preserve">Matsuda, T. "Dengue Virus-induced Apoptosis in Hepatic Cells Is Partly Mediated by Apo2 </w:t>
      </w:r>
      <w:proofErr w:type="spellStart"/>
      <w:r>
        <w:t>Ligand</w:t>
      </w:r>
      <w:proofErr w:type="spellEnd"/>
      <w:r>
        <w:t>/</w:t>
      </w:r>
      <w:proofErr w:type="spellStart"/>
      <w:r>
        <w:t>tumour</w:t>
      </w:r>
      <w:proofErr w:type="spellEnd"/>
      <w:r>
        <w:t xml:space="preserve"> Necrosis Factor-related Apoptosis-inducing </w:t>
      </w:r>
      <w:proofErr w:type="spellStart"/>
      <w:r>
        <w:t>Ligand</w:t>
      </w:r>
      <w:proofErr w:type="spellEnd"/>
      <w:r>
        <w:t>."</w:t>
      </w:r>
      <w:proofErr w:type="gramEnd"/>
      <w:r>
        <w:t xml:space="preserve"> </w:t>
      </w:r>
      <w:r>
        <w:rPr>
          <w:i/>
          <w:iCs/>
        </w:rPr>
        <w:t>Journal of General Virology</w:t>
      </w:r>
      <w:r>
        <w:t xml:space="preserve"> 86.4 (2005): 1055-065.</w:t>
      </w:r>
    </w:p>
    <w:p w:rsidR="00B7706C" w:rsidRDefault="00B7706C" w:rsidP="00B7706C">
      <w:pPr>
        <w:shd w:val="clear" w:color="auto" w:fill="FFFFFF"/>
        <w:spacing w:line="240" w:lineRule="auto"/>
        <w:ind w:left="720" w:hanging="720"/>
        <w:contextualSpacing/>
      </w:pPr>
    </w:p>
    <w:p w:rsidR="00B7706C" w:rsidRDefault="00B7706C" w:rsidP="00B7706C">
      <w:pPr>
        <w:shd w:val="clear" w:color="auto" w:fill="FFFFFF"/>
        <w:spacing w:line="240" w:lineRule="auto"/>
        <w:ind w:left="720" w:hanging="720"/>
        <w:contextualSpacing/>
      </w:pPr>
      <w:proofErr w:type="spellStart"/>
      <w:proofErr w:type="gramStart"/>
      <w:r>
        <w:t>Nasirudeen</w:t>
      </w:r>
      <w:proofErr w:type="spellEnd"/>
      <w:r>
        <w:t>, A.M.A., and Ding Xiang Liu.</w:t>
      </w:r>
      <w:proofErr w:type="gramEnd"/>
      <w:r>
        <w:t xml:space="preserve"> "Gene Expression Profiling by Microarray Analysis Reveals an Important Role for Caspase-1 in Dengue Virus-induced P53-mediated Apoptosis." </w:t>
      </w:r>
      <w:r>
        <w:rPr>
          <w:i/>
          <w:iCs/>
        </w:rPr>
        <w:t>Journal of Medical Virology</w:t>
      </w:r>
      <w:r>
        <w:t xml:space="preserve"> 81.6 (2009): 1069-081.</w:t>
      </w:r>
    </w:p>
    <w:p w:rsidR="00B7706C" w:rsidRDefault="00B7706C" w:rsidP="00B7706C">
      <w:pPr>
        <w:shd w:val="clear" w:color="auto" w:fill="FFFFFF"/>
        <w:spacing w:line="240" w:lineRule="auto"/>
        <w:ind w:left="720" w:hanging="720"/>
        <w:contextualSpacing/>
      </w:pPr>
    </w:p>
    <w:p w:rsidR="00B7706C" w:rsidRPr="00A043F1" w:rsidRDefault="00B7706C" w:rsidP="00B7706C">
      <w:pPr>
        <w:shd w:val="clear" w:color="auto" w:fill="FFFFFF"/>
        <w:spacing w:line="240" w:lineRule="auto"/>
        <w:ind w:left="720" w:hanging="720"/>
        <w:contextualSpacing/>
        <w:rPr>
          <w:color w:val="000000"/>
        </w:rPr>
      </w:pPr>
      <w:proofErr w:type="spellStart"/>
      <w:proofErr w:type="gramStart"/>
      <w:r>
        <w:rPr>
          <w:color w:val="000000"/>
        </w:rPr>
        <w:t>Cardier</w:t>
      </w:r>
      <w:proofErr w:type="spellEnd"/>
      <w:r>
        <w:rPr>
          <w:color w:val="000000"/>
        </w:rPr>
        <w:t xml:space="preserve">, José E., </w:t>
      </w:r>
      <w:proofErr w:type="spellStart"/>
      <w:r>
        <w:rPr>
          <w:color w:val="000000"/>
        </w:rPr>
        <w:t>Eliana</w:t>
      </w:r>
      <w:proofErr w:type="spellEnd"/>
      <w:r>
        <w:rPr>
          <w:color w:val="000000"/>
        </w:rPr>
        <w:t xml:space="preserve"> </w:t>
      </w:r>
      <w:proofErr w:type="spellStart"/>
      <w:r>
        <w:rPr>
          <w:color w:val="000000"/>
        </w:rPr>
        <w:t>Mariño</w:t>
      </w:r>
      <w:proofErr w:type="spellEnd"/>
      <w:r>
        <w:rPr>
          <w:color w:val="000000"/>
        </w:rPr>
        <w:t xml:space="preserve">, </w:t>
      </w:r>
      <w:proofErr w:type="spellStart"/>
      <w:r>
        <w:rPr>
          <w:color w:val="000000"/>
        </w:rPr>
        <w:t>Egidio</w:t>
      </w:r>
      <w:proofErr w:type="spellEnd"/>
      <w:r>
        <w:rPr>
          <w:color w:val="000000"/>
        </w:rPr>
        <w:t xml:space="preserve"> Romano, Peter Taylor, </w:t>
      </w:r>
      <w:proofErr w:type="spellStart"/>
      <w:r>
        <w:rPr>
          <w:color w:val="000000"/>
        </w:rPr>
        <w:t>Ferdinando</w:t>
      </w:r>
      <w:proofErr w:type="spellEnd"/>
      <w:r>
        <w:rPr>
          <w:color w:val="000000"/>
        </w:rPr>
        <w:t xml:space="preserve"> </w:t>
      </w:r>
      <w:proofErr w:type="spellStart"/>
      <w:r>
        <w:rPr>
          <w:color w:val="000000"/>
        </w:rPr>
        <w:t>Liprandi</w:t>
      </w:r>
      <w:proofErr w:type="spellEnd"/>
      <w:r>
        <w:rPr>
          <w:color w:val="000000"/>
        </w:rPr>
        <w:t>, Norma Bosch, and Alan L. Rothman.</w:t>
      </w:r>
      <w:proofErr w:type="gramEnd"/>
      <w:r>
        <w:rPr>
          <w:color w:val="000000"/>
        </w:rPr>
        <w:t xml:space="preserve"> "</w:t>
      </w:r>
      <w:proofErr w:type="spellStart"/>
      <w:r>
        <w:rPr>
          <w:color w:val="000000"/>
        </w:rPr>
        <w:t>Proinflammatory</w:t>
      </w:r>
      <w:proofErr w:type="spellEnd"/>
      <w:r>
        <w:rPr>
          <w:color w:val="000000"/>
        </w:rPr>
        <w:t xml:space="preserve"> Factors Present in Sera from Patients </w:t>
      </w:r>
      <w:r>
        <w:rPr>
          <w:color w:val="000000"/>
        </w:rPr>
        <w:lastRenderedPageBreak/>
        <w:t xml:space="preserve">with Acute Dengue Infection Induce Activation and Apoptosis of Human </w:t>
      </w:r>
      <w:proofErr w:type="spellStart"/>
      <w:r>
        <w:rPr>
          <w:color w:val="000000"/>
        </w:rPr>
        <w:t>Microvascular</w:t>
      </w:r>
      <w:proofErr w:type="spellEnd"/>
      <w:r>
        <w:rPr>
          <w:color w:val="000000"/>
        </w:rPr>
        <w:t xml:space="preserve"> Endothelial Cells: Possible Role of TNF-α in Endothelial Cell Damage in Dengue." </w:t>
      </w:r>
      <w:r>
        <w:rPr>
          <w:i/>
          <w:iCs/>
          <w:color w:val="000000"/>
        </w:rPr>
        <w:t>Cytokine</w:t>
      </w:r>
      <w:r>
        <w:rPr>
          <w:color w:val="000000"/>
        </w:rPr>
        <w:t xml:space="preserve"> 30.6 (2005): 359-65.</w:t>
      </w:r>
    </w:p>
    <w:p w:rsidR="00B7706C" w:rsidRDefault="00B7706C" w:rsidP="00B7706C">
      <w:pPr>
        <w:shd w:val="clear" w:color="auto" w:fill="FFFFFF"/>
        <w:spacing w:line="240" w:lineRule="auto"/>
        <w:ind w:left="720" w:hanging="720"/>
        <w:contextualSpacing/>
      </w:pPr>
    </w:p>
    <w:p w:rsidR="00B7706C" w:rsidRDefault="00B7706C" w:rsidP="00B7706C">
      <w:pPr>
        <w:shd w:val="clear" w:color="auto" w:fill="FFFFFF"/>
        <w:spacing w:line="240" w:lineRule="auto"/>
        <w:ind w:left="720" w:hanging="720"/>
        <w:contextualSpacing/>
      </w:pPr>
      <w:proofErr w:type="gramStart"/>
      <w:r>
        <w:t>Taylor, Rebecca C., Sean P. Cullen, and Seamus J. Martin.</w:t>
      </w:r>
      <w:proofErr w:type="gramEnd"/>
      <w:r>
        <w:t xml:space="preserve"> "Apoptosis: Controlled Demolition at the Cellular Level." </w:t>
      </w:r>
      <w:r>
        <w:rPr>
          <w:i/>
          <w:iCs/>
        </w:rPr>
        <w:t>Nature Reviews Molecular Cell Biology</w:t>
      </w:r>
      <w:r>
        <w:t xml:space="preserve"> 9.3 (2008): 231-41. </w:t>
      </w:r>
    </w:p>
    <w:p w:rsidR="00B7706C" w:rsidRDefault="00B7706C" w:rsidP="00B7706C">
      <w:pPr>
        <w:shd w:val="clear" w:color="auto" w:fill="FFFFFF"/>
        <w:spacing w:line="240" w:lineRule="auto"/>
        <w:ind w:left="720" w:hanging="720"/>
        <w:contextualSpacing/>
      </w:pPr>
    </w:p>
    <w:p w:rsidR="00B7706C" w:rsidRDefault="00B7706C" w:rsidP="00B7706C">
      <w:pPr>
        <w:shd w:val="clear" w:color="auto" w:fill="FFFFFF"/>
        <w:spacing w:line="240" w:lineRule="auto"/>
        <w:ind w:left="720" w:hanging="720"/>
        <w:contextualSpacing/>
        <w:rPr>
          <w:color w:val="000000"/>
        </w:rPr>
      </w:pPr>
      <w:proofErr w:type="spellStart"/>
      <w:r>
        <w:rPr>
          <w:color w:val="000000"/>
        </w:rPr>
        <w:t>Warke</w:t>
      </w:r>
      <w:proofErr w:type="spellEnd"/>
      <w:r>
        <w:rPr>
          <w:color w:val="000000"/>
        </w:rPr>
        <w:t xml:space="preserve">, R. V., K. </w:t>
      </w:r>
      <w:proofErr w:type="spellStart"/>
      <w:r>
        <w:rPr>
          <w:color w:val="000000"/>
        </w:rPr>
        <w:t>Xhaja</w:t>
      </w:r>
      <w:proofErr w:type="spellEnd"/>
      <w:r>
        <w:rPr>
          <w:color w:val="000000"/>
        </w:rPr>
        <w:t xml:space="preserve">, K. J. Martin, M. F. Fournier, S. K. Shaw, N. </w:t>
      </w:r>
      <w:proofErr w:type="spellStart"/>
      <w:r>
        <w:rPr>
          <w:color w:val="000000"/>
        </w:rPr>
        <w:t>Brizuela</w:t>
      </w:r>
      <w:proofErr w:type="spellEnd"/>
      <w:r>
        <w:rPr>
          <w:color w:val="000000"/>
        </w:rPr>
        <w:t xml:space="preserve">, N. </w:t>
      </w:r>
      <w:proofErr w:type="spellStart"/>
      <w:r>
        <w:rPr>
          <w:color w:val="000000"/>
        </w:rPr>
        <w:t>De</w:t>
      </w:r>
      <w:proofErr w:type="spellEnd"/>
      <w:r>
        <w:rPr>
          <w:color w:val="000000"/>
        </w:rPr>
        <w:t xml:space="preserve"> Bosch, D. </w:t>
      </w:r>
      <w:proofErr w:type="spellStart"/>
      <w:r>
        <w:rPr>
          <w:color w:val="000000"/>
        </w:rPr>
        <w:t>Lapointe</w:t>
      </w:r>
      <w:proofErr w:type="spellEnd"/>
      <w:r>
        <w:rPr>
          <w:color w:val="000000"/>
        </w:rPr>
        <w:t xml:space="preserve">, F. A. Ennis, A. L. Rothman, and I. Bosch. "Dengue Virus Induces Novel Changes in Gene Expression of Human Umbilical Vein Endothelial Cells." </w:t>
      </w:r>
      <w:r>
        <w:rPr>
          <w:i/>
          <w:iCs/>
          <w:color w:val="000000"/>
        </w:rPr>
        <w:t>Journal of Virology</w:t>
      </w:r>
      <w:r>
        <w:rPr>
          <w:color w:val="000000"/>
        </w:rPr>
        <w:t xml:space="preserve"> 77.21 (2003): 11822-1832.</w:t>
      </w:r>
    </w:p>
    <w:p w:rsidR="00B7706C" w:rsidRPr="005A3FBE" w:rsidRDefault="00B7706C" w:rsidP="00B7706C">
      <w:pPr>
        <w:shd w:val="clear" w:color="auto" w:fill="FFFFFF"/>
        <w:spacing w:line="240" w:lineRule="auto"/>
        <w:ind w:left="720" w:hanging="720"/>
        <w:contextualSpacing/>
        <w:rPr>
          <w:color w:val="000000"/>
        </w:rPr>
      </w:pPr>
      <w:r>
        <w:rPr>
          <w:color w:val="000000"/>
        </w:rPr>
        <w:tab/>
      </w:r>
    </w:p>
    <w:p w:rsidR="00B7706C" w:rsidRPr="00A043F1" w:rsidRDefault="00B7706C" w:rsidP="00B7706C">
      <w:pPr>
        <w:shd w:val="clear" w:color="auto" w:fill="FFFFFF"/>
        <w:spacing w:line="240" w:lineRule="auto"/>
        <w:ind w:left="720" w:hanging="720"/>
        <w:contextualSpacing/>
        <w:rPr>
          <w:color w:val="000000"/>
        </w:rPr>
      </w:pPr>
      <w:proofErr w:type="gramStart"/>
      <w:r>
        <w:rPr>
          <w:color w:val="000000"/>
        </w:rPr>
        <w:t xml:space="preserve">Yen, Yu-Ting, </w:t>
      </w:r>
      <w:proofErr w:type="spellStart"/>
      <w:r>
        <w:rPr>
          <w:color w:val="000000"/>
        </w:rPr>
        <w:t>Hseun</w:t>
      </w:r>
      <w:proofErr w:type="spellEnd"/>
      <w:r>
        <w:rPr>
          <w:color w:val="000000"/>
        </w:rPr>
        <w:t xml:space="preserve">-Chin Chen, Yang-Ding Lin, Chi-Chang </w:t>
      </w:r>
      <w:proofErr w:type="spellStart"/>
      <w:r>
        <w:rPr>
          <w:color w:val="000000"/>
        </w:rPr>
        <w:t>Shieh</w:t>
      </w:r>
      <w:proofErr w:type="spellEnd"/>
      <w:r>
        <w:rPr>
          <w:color w:val="000000"/>
        </w:rPr>
        <w:t>, and Betty A. Wu-Hsieh.</w:t>
      </w:r>
      <w:proofErr w:type="gramEnd"/>
      <w:r>
        <w:rPr>
          <w:color w:val="000000"/>
        </w:rPr>
        <w:t xml:space="preserve"> "Enhancement by Tumor Necrosis Factor Alpha of Dengue Virus-Induced Endothelial Cell Production of Reactive Nitrogen and Oxygen Species Is Key to Hemorrhage Development." </w:t>
      </w:r>
      <w:r>
        <w:rPr>
          <w:i/>
          <w:iCs/>
          <w:color w:val="000000"/>
        </w:rPr>
        <w:t>Journal of Virology</w:t>
      </w:r>
      <w:r>
        <w:rPr>
          <w:color w:val="000000"/>
        </w:rPr>
        <w:t xml:space="preserve"> 82.24 (2008): 12312-2324.</w:t>
      </w:r>
    </w:p>
    <w:p w:rsidR="00B7706C" w:rsidRDefault="00B7706C" w:rsidP="00B7706C">
      <w:pPr>
        <w:spacing w:line="480" w:lineRule="auto"/>
        <w:ind w:firstLine="720"/>
        <w:rPr>
          <w:iCs/>
        </w:rPr>
      </w:pPr>
    </w:p>
    <w:p w:rsidR="00B7706C" w:rsidRDefault="00B7706C" w:rsidP="00B7706C">
      <w:pPr>
        <w:spacing w:line="480" w:lineRule="auto"/>
        <w:ind w:firstLine="720"/>
        <w:rPr>
          <w:iCs/>
        </w:rPr>
      </w:pPr>
    </w:p>
    <w:p w:rsidR="00B7706C" w:rsidRDefault="00B7706C" w:rsidP="00B7706C">
      <w:pPr>
        <w:spacing w:line="480" w:lineRule="auto"/>
        <w:ind w:firstLine="720"/>
        <w:rPr>
          <w:iCs/>
        </w:rPr>
      </w:pPr>
    </w:p>
    <w:p w:rsidR="00B7706C" w:rsidRDefault="00B7706C" w:rsidP="00B7706C">
      <w:pPr>
        <w:spacing w:line="480" w:lineRule="auto"/>
        <w:ind w:firstLine="720"/>
        <w:rPr>
          <w:iCs/>
        </w:rPr>
      </w:pPr>
    </w:p>
    <w:p w:rsidR="00B7706C" w:rsidRDefault="00B7706C" w:rsidP="00B7706C">
      <w:pPr>
        <w:spacing w:line="480" w:lineRule="auto"/>
        <w:ind w:firstLine="720"/>
        <w:rPr>
          <w:iCs/>
        </w:rPr>
      </w:pPr>
    </w:p>
    <w:p w:rsidR="00B7706C" w:rsidRDefault="00B7706C" w:rsidP="00B7706C">
      <w:pPr>
        <w:spacing w:line="480" w:lineRule="auto"/>
        <w:ind w:firstLine="720"/>
        <w:rPr>
          <w:iCs/>
        </w:rPr>
      </w:pPr>
    </w:p>
    <w:p w:rsidR="00B7706C" w:rsidRDefault="00B7706C" w:rsidP="00B7706C">
      <w:pPr>
        <w:spacing w:line="480" w:lineRule="auto"/>
        <w:ind w:firstLine="720"/>
        <w:rPr>
          <w:iCs/>
        </w:rPr>
      </w:pPr>
    </w:p>
    <w:p w:rsidR="00B7706C" w:rsidRDefault="00B7706C" w:rsidP="00B7706C">
      <w:pPr>
        <w:spacing w:line="480" w:lineRule="auto"/>
        <w:ind w:firstLine="720"/>
        <w:rPr>
          <w:iCs/>
        </w:rPr>
      </w:pPr>
    </w:p>
    <w:p w:rsidR="00B7706C" w:rsidRDefault="00B7706C" w:rsidP="00B7706C">
      <w:pPr>
        <w:spacing w:line="480" w:lineRule="auto"/>
        <w:ind w:firstLine="720"/>
        <w:rPr>
          <w:iCs/>
        </w:rPr>
      </w:pPr>
    </w:p>
    <w:p w:rsidR="00B7706C" w:rsidRPr="00B7706C" w:rsidRDefault="00B7706C" w:rsidP="00B7706C"/>
    <w:sectPr w:rsidR="00B7706C" w:rsidRPr="00B7706C" w:rsidSect="00BD1242">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38" w:rsidRDefault="00254C38" w:rsidP="000C0092">
      <w:pPr>
        <w:spacing w:after="0" w:line="240" w:lineRule="auto"/>
      </w:pPr>
      <w:r>
        <w:separator/>
      </w:r>
    </w:p>
  </w:endnote>
  <w:endnote w:type="continuationSeparator" w:id="0">
    <w:p w:rsidR="00254C38" w:rsidRDefault="00254C38" w:rsidP="000C0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74638"/>
      <w:docPartObj>
        <w:docPartGallery w:val="Page Numbers (Bottom of Page)"/>
        <w:docPartUnique/>
      </w:docPartObj>
    </w:sdtPr>
    <w:sdtContent>
      <w:p w:rsidR="001E729C" w:rsidRDefault="001E729C">
        <w:pPr>
          <w:pStyle w:val="Footer"/>
          <w:jc w:val="center"/>
        </w:pPr>
        <w:fldSimple w:instr=" PAGE   \* MERGEFORMAT ">
          <w:r w:rsidR="00BD1242">
            <w:rPr>
              <w:noProof/>
            </w:rPr>
            <w:t>10</w:t>
          </w:r>
        </w:fldSimple>
      </w:p>
    </w:sdtContent>
  </w:sdt>
  <w:p w:rsidR="000C0092" w:rsidRDefault="000C0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38" w:rsidRDefault="00254C38" w:rsidP="000C0092">
      <w:pPr>
        <w:spacing w:after="0" w:line="240" w:lineRule="auto"/>
      </w:pPr>
      <w:r>
        <w:separator/>
      </w:r>
    </w:p>
  </w:footnote>
  <w:footnote w:type="continuationSeparator" w:id="0">
    <w:p w:rsidR="00254C38" w:rsidRDefault="00254C38" w:rsidP="000C0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228"/>
    <w:multiLevelType w:val="hybridMultilevel"/>
    <w:tmpl w:val="1EB0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397B"/>
    <w:multiLevelType w:val="hybridMultilevel"/>
    <w:tmpl w:val="A6C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F56A0"/>
    <w:multiLevelType w:val="hybridMultilevel"/>
    <w:tmpl w:val="009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rsids>
    <w:rsidRoot w:val="00565E2C"/>
    <w:rsid w:val="000C0092"/>
    <w:rsid w:val="00117FAB"/>
    <w:rsid w:val="0019476A"/>
    <w:rsid w:val="001E729C"/>
    <w:rsid w:val="00254C38"/>
    <w:rsid w:val="002859CB"/>
    <w:rsid w:val="002922AF"/>
    <w:rsid w:val="003D0A54"/>
    <w:rsid w:val="003F2EE4"/>
    <w:rsid w:val="00405C13"/>
    <w:rsid w:val="00442F35"/>
    <w:rsid w:val="004E1901"/>
    <w:rsid w:val="004E301A"/>
    <w:rsid w:val="005037EB"/>
    <w:rsid w:val="005102FF"/>
    <w:rsid w:val="00565E2C"/>
    <w:rsid w:val="00586BE6"/>
    <w:rsid w:val="006B7347"/>
    <w:rsid w:val="0078011F"/>
    <w:rsid w:val="007B41E0"/>
    <w:rsid w:val="007E1EEE"/>
    <w:rsid w:val="007E430E"/>
    <w:rsid w:val="008069AC"/>
    <w:rsid w:val="008A3222"/>
    <w:rsid w:val="009C4322"/>
    <w:rsid w:val="00A32EB0"/>
    <w:rsid w:val="00A42C5F"/>
    <w:rsid w:val="00AC318A"/>
    <w:rsid w:val="00AD4E15"/>
    <w:rsid w:val="00AE769B"/>
    <w:rsid w:val="00B7706C"/>
    <w:rsid w:val="00BC4B41"/>
    <w:rsid w:val="00BD1242"/>
    <w:rsid w:val="00BF5306"/>
    <w:rsid w:val="00CC4EDD"/>
    <w:rsid w:val="00CF0CAE"/>
    <w:rsid w:val="00D74128"/>
    <w:rsid w:val="00E851A5"/>
    <w:rsid w:val="00F00355"/>
    <w:rsid w:val="00F44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2C"/>
  </w:style>
  <w:style w:type="paragraph" w:styleId="Heading1">
    <w:name w:val="heading 1"/>
    <w:basedOn w:val="Normal"/>
    <w:next w:val="Normal"/>
    <w:link w:val="Heading1Char"/>
    <w:uiPriority w:val="9"/>
    <w:qFormat/>
    <w:rsid w:val="000C0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6C"/>
    <w:pPr>
      <w:ind w:left="720"/>
      <w:contextualSpacing/>
    </w:pPr>
  </w:style>
  <w:style w:type="table" w:styleId="TableGrid">
    <w:name w:val="Table Grid"/>
    <w:basedOn w:val="TableNormal"/>
    <w:uiPriority w:val="59"/>
    <w:rsid w:val="00B7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C00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092"/>
  </w:style>
  <w:style w:type="paragraph" w:styleId="Footer">
    <w:name w:val="footer"/>
    <w:basedOn w:val="Normal"/>
    <w:link w:val="FooterChar"/>
    <w:uiPriority w:val="99"/>
    <w:unhideWhenUsed/>
    <w:rsid w:val="000C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92"/>
  </w:style>
  <w:style w:type="character" w:customStyle="1" w:styleId="Heading1Char">
    <w:name w:val="Heading 1 Char"/>
    <w:basedOn w:val="DefaultParagraphFont"/>
    <w:link w:val="Heading1"/>
    <w:uiPriority w:val="9"/>
    <w:rsid w:val="000C009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C0092"/>
    <w:pPr>
      <w:outlineLvl w:val="9"/>
    </w:pPr>
  </w:style>
  <w:style w:type="paragraph" w:styleId="BalloonText">
    <w:name w:val="Balloon Text"/>
    <w:basedOn w:val="Normal"/>
    <w:link w:val="BalloonTextChar"/>
    <w:uiPriority w:val="99"/>
    <w:semiHidden/>
    <w:unhideWhenUsed/>
    <w:rsid w:val="000C0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408482">
      <w:bodyDiv w:val="1"/>
      <w:marLeft w:val="0"/>
      <w:marRight w:val="0"/>
      <w:marTop w:val="0"/>
      <w:marBottom w:val="0"/>
      <w:divBdr>
        <w:top w:val="none" w:sz="0" w:space="0" w:color="auto"/>
        <w:left w:val="none" w:sz="0" w:space="0" w:color="auto"/>
        <w:bottom w:val="none" w:sz="0" w:space="0" w:color="auto"/>
        <w:right w:val="none" w:sz="0" w:space="0" w:color="auto"/>
      </w:divBdr>
      <w:divsChild>
        <w:div w:id="716008511">
          <w:marLeft w:val="0"/>
          <w:marRight w:val="0"/>
          <w:marTop w:val="0"/>
          <w:marBottom w:val="0"/>
          <w:divBdr>
            <w:top w:val="none" w:sz="0" w:space="0" w:color="auto"/>
            <w:left w:val="none" w:sz="0" w:space="0" w:color="auto"/>
            <w:bottom w:val="none" w:sz="0" w:space="0" w:color="auto"/>
            <w:right w:val="none" w:sz="0" w:space="0" w:color="auto"/>
          </w:divBdr>
          <w:divsChild>
            <w:div w:id="407072306">
              <w:marLeft w:val="0"/>
              <w:marRight w:val="0"/>
              <w:marTop w:val="0"/>
              <w:marBottom w:val="0"/>
              <w:divBdr>
                <w:top w:val="single" w:sz="48" w:space="0" w:color="FFFFFF"/>
                <w:left w:val="single" w:sz="48" w:space="0" w:color="FFFFFF"/>
                <w:bottom w:val="single" w:sz="48" w:space="0" w:color="FFFFFF"/>
                <w:right w:val="single" w:sz="48" w:space="0" w:color="FFFFFF"/>
              </w:divBdr>
              <w:divsChild>
                <w:div w:id="351685277">
                  <w:marLeft w:val="0"/>
                  <w:marRight w:val="0"/>
                  <w:marTop w:val="0"/>
                  <w:marBottom w:val="0"/>
                  <w:divBdr>
                    <w:top w:val="none" w:sz="0" w:space="0" w:color="auto"/>
                    <w:left w:val="none" w:sz="0" w:space="0" w:color="auto"/>
                    <w:bottom w:val="none" w:sz="0" w:space="0" w:color="auto"/>
                    <w:right w:val="none" w:sz="0" w:space="0" w:color="auto"/>
                  </w:divBdr>
                  <w:divsChild>
                    <w:div w:id="852768575">
                      <w:marLeft w:val="0"/>
                      <w:marRight w:val="0"/>
                      <w:marTop w:val="0"/>
                      <w:marBottom w:val="0"/>
                      <w:divBdr>
                        <w:top w:val="none" w:sz="0" w:space="0" w:color="auto"/>
                        <w:left w:val="none" w:sz="0" w:space="0" w:color="auto"/>
                        <w:bottom w:val="none" w:sz="0" w:space="0" w:color="auto"/>
                        <w:right w:val="none" w:sz="0" w:space="0" w:color="auto"/>
                      </w:divBdr>
                      <w:divsChild>
                        <w:div w:id="2128968954">
                          <w:marLeft w:val="0"/>
                          <w:marRight w:val="0"/>
                          <w:marTop w:val="0"/>
                          <w:marBottom w:val="0"/>
                          <w:divBdr>
                            <w:top w:val="none" w:sz="0" w:space="0" w:color="auto"/>
                            <w:left w:val="none" w:sz="0" w:space="0" w:color="auto"/>
                            <w:bottom w:val="none" w:sz="0" w:space="0" w:color="auto"/>
                            <w:right w:val="none" w:sz="0" w:space="0" w:color="auto"/>
                          </w:divBdr>
                          <w:divsChild>
                            <w:div w:id="132523811">
                              <w:marLeft w:val="0"/>
                              <w:marRight w:val="0"/>
                              <w:marTop w:val="0"/>
                              <w:marBottom w:val="150"/>
                              <w:divBdr>
                                <w:top w:val="none" w:sz="0" w:space="0" w:color="auto"/>
                                <w:left w:val="none" w:sz="0" w:space="0" w:color="auto"/>
                                <w:bottom w:val="none" w:sz="0" w:space="0" w:color="auto"/>
                                <w:right w:val="none" w:sz="0" w:space="0" w:color="auto"/>
                              </w:divBdr>
                              <w:divsChild>
                                <w:div w:id="1179275480">
                                  <w:marLeft w:val="0"/>
                                  <w:marRight w:val="0"/>
                                  <w:marTop w:val="0"/>
                                  <w:marBottom w:val="0"/>
                                  <w:divBdr>
                                    <w:top w:val="none" w:sz="0" w:space="0" w:color="auto"/>
                                    <w:left w:val="none" w:sz="0" w:space="0" w:color="auto"/>
                                    <w:bottom w:val="none" w:sz="0" w:space="0" w:color="auto"/>
                                    <w:right w:val="none" w:sz="0" w:space="0" w:color="auto"/>
                                  </w:divBdr>
                                  <w:divsChild>
                                    <w:div w:id="1760565135">
                                      <w:marLeft w:val="0"/>
                                      <w:marRight w:val="0"/>
                                      <w:marTop w:val="0"/>
                                      <w:marBottom w:val="0"/>
                                      <w:divBdr>
                                        <w:top w:val="none" w:sz="0" w:space="0" w:color="auto"/>
                                        <w:left w:val="none" w:sz="0" w:space="0" w:color="auto"/>
                                        <w:bottom w:val="none" w:sz="0" w:space="0" w:color="auto"/>
                                        <w:right w:val="none" w:sz="0" w:space="0" w:color="auto"/>
                                      </w:divBdr>
                                      <w:divsChild>
                                        <w:div w:id="404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FD13-289D-4ED5-A43C-D20F0A04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Fuentes</dc:creator>
  <cp:lastModifiedBy>Patricia Fuentes</cp:lastModifiedBy>
  <cp:revision>2</cp:revision>
  <dcterms:created xsi:type="dcterms:W3CDTF">2011-11-03T21:41:00Z</dcterms:created>
  <dcterms:modified xsi:type="dcterms:W3CDTF">2011-11-03T21:41:00Z</dcterms:modified>
</cp:coreProperties>
</file>